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88C8">
      <w:pPr>
        <w:widowControl/>
        <w:spacing w:line="360" w:lineRule="auto"/>
        <w:jc w:val="center"/>
        <w:rPr>
          <w:rFonts w:ascii="宋体" w:hAnsi="宋体" w:cs="Tahom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 xml:space="preserve">   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学年第2学期 材料科学与工程辅修课程选课指南（202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、202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、202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级）</w:t>
      </w:r>
    </w:p>
    <w:p w14:paraId="02A90F44">
      <w:pPr>
        <w:jc w:val="center"/>
        <w:rPr>
          <w:b/>
          <w:kern w:val="0"/>
          <w:sz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材料科学与工程学</w:t>
      </w:r>
      <w:r>
        <w:rPr>
          <w:rFonts w:hint="eastAsia"/>
          <w:b/>
          <w:kern w:val="0"/>
          <w:sz w:val="28"/>
          <w:szCs w:val="28"/>
        </w:rPr>
        <w:t>院</w:t>
      </w:r>
    </w:p>
    <w:p w14:paraId="13291FE8">
      <w:pPr>
        <w:spacing w:line="320" w:lineRule="exact"/>
        <w:jc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教学安排及选课工作细则</w:t>
      </w:r>
    </w:p>
    <w:p w14:paraId="3CA7B86C">
      <w:pPr>
        <w:pStyle w:val="8"/>
        <w:spacing w:before="156" w:beforeLines="50"/>
        <w:ind w:firstLine="479" w:firstLineChars="199"/>
        <w:rPr>
          <w:rFonts w:hint="eastAsia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面向对象：</w:t>
      </w:r>
    </w:p>
    <w:p w14:paraId="6BDF62EC">
      <w:pPr>
        <w:pStyle w:val="8"/>
        <w:spacing w:line="320" w:lineRule="exact"/>
        <w:ind w:firstLine="477" w:firstLineChars="199"/>
        <w:rPr>
          <w:rFonts w:cs="宋体"/>
          <w:b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我校202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、202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、202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级在籍在校普通本科学生（主修专业为</w:t>
      </w:r>
      <w:r>
        <w:rPr>
          <w:rFonts w:hint="eastAsia" w:ascii="宋体" w:hAnsi="宋体" w:cs="Tahoma"/>
          <w:bCs/>
          <w:color w:val="000000"/>
          <w:kern w:val="0"/>
          <w:sz w:val="24"/>
          <w:szCs w:val="24"/>
        </w:rPr>
        <w:t>材料科学与工程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除外）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 w14:paraId="75DF0D8C">
      <w:pPr>
        <w:pStyle w:val="8"/>
        <w:spacing w:line="320" w:lineRule="exact"/>
        <w:ind w:firstLine="437" w:firstLineChars="199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开设专业：</w:t>
      </w:r>
    </w:p>
    <w:tbl>
      <w:tblPr>
        <w:tblStyle w:val="5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740"/>
        <w:gridCol w:w="4638"/>
      </w:tblGrid>
      <w:tr w14:paraId="6254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6E7B2642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开设学院</w:t>
            </w:r>
          </w:p>
        </w:tc>
        <w:tc>
          <w:tcPr>
            <w:tcW w:w="1740" w:type="dxa"/>
          </w:tcPr>
          <w:p w14:paraId="4106D51B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辅修专业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4638" w:type="dxa"/>
          </w:tcPr>
          <w:p w14:paraId="2E49AB6D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总学分</w:t>
            </w:r>
          </w:p>
        </w:tc>
      </w:tr>
      <w:tr w14:paraId="1B75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 w14:paraId="0F3A7E34">
            <w:pPr>
              <w:widowControl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740" w:type="dxa"/>
          </w:tcPr>
          <w:p w14:paraId="47FF48EF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4638" w:type="dxa"/>
          </w:tcPr>
          <w:p w14:paraId="0DA164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2022级：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8分（专业）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5分（学位）；</w:t>
            </w:r>
          </w:p>
          <w:p w14:paraId="15B13C6E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8分（专业）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4.5分（学位）。</w:t>
            </w:r>
          </w:p>
        </w:tc>
      </w:tr>
    </w:tbl>
    <w:p w14:paraId="284D920F">
      <w:pPr>
        <w:pStyle w:val="8"/>
        <w:spacing w:line="320" w:lineRule="exact"/>
        <w:ind w:firstLine="437" w:firstLineChars="199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2022级学分绩点要求：</w:t>
      </w:r>
    </w:p>
    <w:p w14:paraId="4D1F7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辅修专业/学位学分绩点要求：</w:t>
      </w:r>
    </w:p>
    <w:p w14:paraId="4E7BB040">
      <w:pPr>
        <w:spacing w:line="320" w:lineRule="exac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（1）参照东南大学学分制管理办法及本科生修读辅修专业/辅修学位管理办法（暂行），修满本辅修学位计划学分要求55学分，且平均学分绩点≥2.0者，可获得辅修学士学位。</w:t>
      </w:r>
    </w:p>
    <w:p w14:paraId="7D4E06D3">
      <w:pPr>
        <w:spacing w:line="320" w:lineRule="exact"/>
        <w:rPr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（2）不满足辅修学位授予条件，但已修辅修学位计划课程（不含毕业论文）达到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sz w:val="22"/>
        </w:rPr>
        <w:t>学分，可获得辅修专业证书。</w:t>
      </w:r>
    </w:p>
    <w:p w14:paraId="4426F406">
      <w:pPr>
        <w:pStyle w:val="8"/>
        <w:spacing w:line="320" w:lineRule="exact"/>
        <w:ind w:firstLine="437" w:firstLineChars="199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2023级、2024级学分绩点要求：</w:t>
      </w:r>
    </w:p>
    <w:p w14:paraId="1577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辅修专业/学位学分绩点要求：</w:t>
      </w:r>
    </w:p>
    <w:p w14:paraId="3D183BE3">
      <w:pPr>
        <w:spacing w:line="320" w:lineRule="exac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（1）参照东南大学学分制管理办法及本科生修读辅修专业/辅修学位管理办法（暂行），修满本辅修学位计划学分要求54.5学分，且平均学分绩点≥2.0者，可获得辅修学士学位。</w:t>
      </w:r>
    </w:p>
    <w:p w14:paraId="0656571E">
      <w:pPr>
        <w:spacing w:line="320" w:lineRule="exact"/>
        <w:rPr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（2）不满足辅修学位授予条件，但已修辅修学位计划课程（不含毕业论文）达到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sz w:val="22"/>
        </w:rPr>
        <w:t>学分，可获得辅修专业证书。</w:t>
      </w:r>
    </w:p>
    <w:p w14:paraId="7CF0E8DD">
      <w:pPr>
        <w:spacing w:line="320" w:lineRule="exact"/>
        <w:rPr>
          <w:sz w:val="22"/>
        </w:rPr>
      </w:pPr>
    </w:p>
    <w:p w14:paraId="654D560B">
      <w:pPr>
        <w:pStyle w:val="8"/>
        <w:spacing w:before="156" w:beforeLines="50"/>
        <w:ind w:firstLine="479" w:firstLineChars="199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教学进程</w:t>
      </w:r>
      <w:r>
        <w:rPr>
          <w:rFonts w:cs="宋体"/>
          <w:b/>
          <w:sz w:val="24"/>
          <w:szCs w:val="24"/>
        </w:rPr>
        <w:t>:</w:t>
      </w:r>
    </w:p>
    <w:p w14:paraId="7B49B6AF">
      <w:pPr>
        <w:pStyle w:val="8"/>
        <w:widowControl/>
        <w:spacing w:line="320" w:lineRule="exact"/>
        <w:ind w:firstLine="480"/>
        <w:jc w:val="left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辅修学位教学计划从二年级开始辅修学习。辅修学位计划安排为6个学期。</w:t>
      </w:r>
    </w:p>
    <w:p w14:paraId="032CF09B">
      <w:pPr>
        <w:pStyle w:val="10"/>
        <w:widowControl/>
        <w:spacing w:line="320" w:lineRule="exact"/>
        <w:ind w:firstLine="0" w:firstLineChars="0"/>
        <w:jc w:val="left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2025-2026-2学期，面向2022、2023、2024级，开设课程如下：</w:t>
      </w:r>
    </w:p>
    <w:p w14:paraId="455F8473">
      <w:pPr>
        <w:pStyle w:val="8"/>
        <w:widowControl/>
        <w:ind w:firstLine="0" w:firstLineChars="0"/>
        <w:jc w:val="left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202</w:t>
      </w: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5</w:t>
      </w: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-202</w:t>
      </w: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6</w:t>
      </w: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-1学期课程安排：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79B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7C6A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辅修课程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7C48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学分</w:t>
            </w:r>
          </w:p>
        </w:tc>
      </w:tr>
      <w:tr w14:paraId="57B6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789F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材料科学基础实验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A7CF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1.5</w:t>
            </w:r>
          </w:p>
        </w:tc>
      </w:tr>
    </w:tbl>
    <w:p w14:paraId="7FC01773">
      <w:pPr>
        <w:pStyle w:val="8"/>
        <w:widowControl/>
        <w:ind w:firstLine="0" w:firstLineChars="0"/>
        <w:jc w:val="left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</w:p>
    <w:p w14:paraId="4AA1294C">
      <w:pPr>
        <w:pStyle w:val="10"/>
        <w:widowControl/>
        <w:spacing w:line="320" w:lineRule="exact"/>
        <w:ind w:firstLine="0" w:firstLineChars="0"/>
        <w:jc w:val="left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2025-2026-2学期课程安排：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5C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E0C8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辅修课程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5751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学分</w:t>
            </w:r>
          </w:p>
        </w:tc>
      </w:tr>
      <w:tr w14:paraId="1F94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078E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工程力学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A143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 w14:paraId="54B9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B674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实验室安全与准入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F794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0.5</w:t>
            </w:r>
          </w:p>
        </w:tc>
      </w:tr>
      <w:tr w14:paraId="29E1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BC5F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材料科学基础(上)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B61C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 w14:paraId="48E6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7BF3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物理化学(D)(上)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FD7B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</w:tr>
      <w:tr w14:paraId="20CA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FD04A2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固体物理基础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BB3F8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 w14:paraId="1FA7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F1FCC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基础传输原理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0B2EB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 w14:paraId="52FB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577BA7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高分子化学与物理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FFAA0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 w14:paraId="5FD2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46671E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材料分析技术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747A0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 w14:paraId="7A23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4E56F2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材料力学性能</w:t>
            </w: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018EFA">
            <w:pPr>
              <w:pStyle w:val="8"/>
              <w:widowControl/>
              <w:spacing w:line="320" w:lineRule="exact"/>
              <w:ind w:firstLine="480"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</w:tbl>
    <w:p w14:paraId="7962942E">
      <w:pPr>
        <w:pStyle w:val="8"/>
        <w:widowControl/>
        <w:ind w:firstLine="0" w:firstLineChars="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11FE84F8">
      <w:pPr>
        <w:pStyle w:val="8"/>
        <w:spacing w:before="156" w:beforeLines="50"/>
        <w:ind w:firstLine="479" w:firstLineChars="199"/>
        <w:rPr>
          <w:rFonts w:hint="eastAsia" w:cs="宋体"/>
          <w:b/>
          <w:sz w:val="24"/>
          <w:szCs w:val="24"/>
          <w:lang w:val="en-US" w:eastAsia="zh-CN"/>
        </w:rPr>
      </w:pPr>
      <w:r>
        <w:rPr>
          <w:rFonts w:hint="eastAsia" w:cs="宋体"/>
          <w:b/>
          <w:sz w:val="24"/>
          <w:szCs w:val="24"/>
        </w:rPr>
        <w:t>上课与考核：</w:t>
      </w:r>
    </w:p>
    <w:p w14:paraId="18BE8884">
      <w:pPr>
        <w:pStyle w:val="8"/>
        <w:widowControl/>
        <w:spacing w:line="320" w:lineRule="exact"/>
        <w:ind w:firstLine="480"/>
        <w:jc w:val="left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 xml:space="preserve">按时上课，跟班期末统一考核。 </w:t>
      </w:r>
    </w:p>
    <w:p w14:paraId="05BFF781">
      <w:pPr>
        <w:pStyle w:val="8"/>
        <w:widowControl/>
        <w:spacing w:line="320" w:lineRule="exact"/>
        <w:ind w:firstLine="480"/>
        <w:jc w:val="left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</w:p>
    <w:p w14:paraId="2DD9D901">
      <w:pPr>
        <w:pStyle w:val="8"/>
        <w:widowControl/>
        <w:spacing w:line="320" w:lineRule="exact"/>
        <w:ind w:firstLine="480"/>
        <w:jc w:val="left"/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附：202</w:t>
      </w:r>
      <w:r>
        <w:rPr>
          <w:rFonts w:hint="eastAsia" w:ascii="宋体" w:hAnsi="宋体" w:cstheme="minorBidi"/>
          <w:kern w:val="2"/>
          <w:sz w:val="22"/>
          <w:szCs w:val="22"/>
          <w:lang w:val="en-US" w:eastAsia="zh-CN" w:bidi="ar-SA"/>
        </w:rPr>
        <w:t>4</w:t>
      </w:r>
      <w:r>
        <w:rPr>
          <w:rFonts w:hint="eastAsia" w:ascii="宋体" w:hAnsi="宋体" w:eastAsiaTheme="minorEastAsia" w:cstheme="minorBidi"/>
          <w:kern w:val="2"/>
          <w:sz w:val="22"/>
          <w:szCs w:val="22"/>
          <w:lang w:val="en-US" w:eastAsia="zh-CN" w:bidi="ar-SA"/>
        </w:rPr>
        <w:t>级辅修学位计划</w:t>
      </w:r>
      <w:bookmarkStart w:id="0" w:name="_GoBack"/>
      <w:bookmarkEnd w:id="0"/>
    </w:p>
    <w:tbl>
      <w:tblPr>
        <w:tblStyle w:val="5"/>
        <w:tblW w:w="86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15"/>
        <w:gridCol w:w="556"/>
        <w:gridCol w:w="480"/>
        <w:gridCol w:w="450"/>
        <w:gridCol w:w="480"/>
        <w:gridCol w:w="450"/>
        <w:gridCol w:w="568"/>
        <w:gridCol w:w="636"/>
        <w:gridCol w:w="636"/>
        <w:gridCol w:w="465"/>
      </w:tblGrid>
      <w:tr w14:paraId="40C39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98DE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课程编号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63ED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5DD6E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学分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939DD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授课</w:t>
            </w:r>
          </w:p>
          <w:p w14:paraId="6BDCDE2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CECD8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实验</w:t>
            </w:r>
          </w:p>
          <w:p w14:paraId="7169724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32B2C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讨论</w:t>
            </w:r>
          </w:p>
          <w:p w14:paraId="7EC8DD1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F683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课外</w:t>
            </w:r>
          </w:p>
          <w:p w14:paraId="7D563A9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学时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50AA6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周学时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057A9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授课</w:t>
            </w:r>
          </w:p>
          <w:p w14:paraId="28EAD90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学年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E1248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授课</w:t>
            </w:r>
          </w:p>
          <w:p w14:paraId="0E47709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学期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73B59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考核</w:t>
            </w:r>
          </w:p>
          <w:p w14:paraId="025C5A5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类型</w:t>
            </w:r>
          </w:p>
        </w:tc>
      </w:tr>
      <w:tr w14:paraId="303EA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68E3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B05M0170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7157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工程力学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8F20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C570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22D4A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B6829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484B7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8507B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55E83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DB94C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F9538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76CBC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114A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B1200540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5328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实验室安全与准入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DF2C1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AD233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CE86C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C6F6B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6492C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8806D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9115B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B5D32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4D01B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54403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FC2C3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B1200560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0512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材料科学基础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上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)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69891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1C6CB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0D34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CF2C4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99294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3E6CD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D19C1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01206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85C5E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77FA4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073A2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B19M0120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BBE4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物理化学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(D)(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上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)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D3A1D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96A89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6EE31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4FC32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FCAF2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55E54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C9EF5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3204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4B19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4404D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D32E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B1200570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CFE0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材料科学基础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 xml:space="preserve"> 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下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)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9850B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06D4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8D541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0C5D4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671A3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69E00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EF7EC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8DA72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DADFA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70D00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5ECE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B1605570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B33D3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电工电子技术基础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92A76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C6240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64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E015F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CBA5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AD527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5B9F2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A688A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37EB1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95B00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12157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50EA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B19M0130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5322E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物理化学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(D)(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下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)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E4A9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A58E7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BA394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270CB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4CBC5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0EE87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52C98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二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4124F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9523F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616CA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85861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B1201481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9B31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材料科学基础实验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0E15A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8E8A5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F7264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C86FF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2451D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1BC5A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4468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C8F4E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7C6DA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</w:tr>
      <w:tr w14:paraId="1D2D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6CDC9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B1200110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1B3F6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固体物理基础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D0E21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AC93F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C1C3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1EFD6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A2FC9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2221A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7FA77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24530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7934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217F6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42BE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B1200150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6685C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基础传输原理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52DC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FE228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D57A7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962E3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3B044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354DB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ADE8B4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1F8385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49936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6CE56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E493F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B1200510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C1563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高分子化学与物理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941D0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8ECF3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8C8A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BE9EE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18432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4BC6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8A9968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B43E0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BAC21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6E7D8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C27B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B1200530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422B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材料分析技术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2D530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1828B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E7970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AE1DA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B432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A8FD6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06C24E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34ADBF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FC90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15D77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7523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B1201010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8520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材料力学性能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60C1C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D2BCA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E7ED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5532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CB8F5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A86C4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1FB893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45598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F8AAD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772A3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9F056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B1200520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85317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材料物理性能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82641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4B886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48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C81EB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8F82B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FF112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96117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D49EA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F42AC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1F2F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5F90E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4F790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B1200551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C5DD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材料分析实验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575A3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48AA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890E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170F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68EB8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36931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8674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86513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74A2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</w:tr>
      <w:tr w14:paraId="0023A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45BF3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B1201020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8AE26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材料工程测试技术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研讨）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6C488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3623C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C5A5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E67D5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C348D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46F34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27DF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8EF033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1FDA6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179EE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C203A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B1201030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E052F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计算材料学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5B59A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FEC1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46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76524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C270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D8751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C3E0C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3C792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3A6C98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8EBEFB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471B2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6A12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B1221010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DBBC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薄膜技术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双语</w:t>
            </w:r>
            <w:r>
              <w:rPr>
                <w:rFonts w:ascii="宋体" w:hAnsi="Times New Roman" w:eastAsia="宋体" w:cs="宋体"/>
                <w:sz w:val="18"/>
                <w:szCs w:val="18"/>
              </w:rPr>
              <w:t>,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研讨）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2CF01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69887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22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07DB7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E3F73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81E0C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F14E3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07F828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AC4566"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71DF0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+</w:t>
            </w:r>
          </w:p>
        </w:tc>
      </w:tr>
      <w:tr w14:paraId="5A426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C94E2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B1200400</w:t>
            </w:r>
          </w:p>
        </w:tc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BB6A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毕业设计</w:t>
            </w:r>
          </w:p>
        </w:tc>
        <w:tc>
          <w:tcPr>
            <w:tcW w:w="55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96163AA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F8B97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46594A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CE52BF0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409886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94C231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C91E2EE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四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8D72E2D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27A913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-</w:t>
            </w:r>
          </w:p>
        </w:tc>
      </w:tr>
      <w:tr w14:paraId="081E5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F10F7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合计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3340F1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54.5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DE5F9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672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26FD05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92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68A5CC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30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072E84">
            <w:pPr>
              <w:spacing w:line="216" w:lineRule="exact"/>
              <w:ind w:left="20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ascii="宋体" w:hAnsi="Times New Roman" w:eastAsia="宋体" w:cs="宋体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E6F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E9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135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DA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E6845F">
      <w:pPr>
        <w:spacing w:line="300" w:lineRule="auto"/>
        <w:rPr>
          <w:rFonts w:ascii="宋体" w:hAnsi="宋体"/>
          <w:sz w:val="22"/>
        </w:rPr>
      </w:pPr>
    </w:p>
    <w:p w14:paraId="6F9C135D"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辅修专业/学位学分绩点要求：</w:t>
      </w:r>
    </w:p>
    <w:p w14:paraId="2577198E">
      <w:pPr>
        <w:spacing w:line="30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（1）参照东南大学学分制管理办法及本科生修读辅修专业/辅修学位管理办法（暂行），修满本辅修学位计划学分要求54.5学分，且平均学分绩点≥2.0者，可获得辅修学士学位。</w:t>
      </w:r>
    </w:p>
    <w:p w14:paraId="1E6CB6DA">
      <w:pPr>
        <w:spacing w:line="300" w:lineRule="auto"/>
        <w:rPr>
          <w:sz w:val="22"/>
        </w:rPr>
      </w:pPr>
      <w:r>
        <w:rPr>
          <w:rFonts w:hint="eastAsia" w:ascii="宋体" w:hAnsi="宋体"/>
          <w:sz w:val="22"/>
        </w:rPr>
        <w:t>（2）不满足辅修学位授予条件，但已修辅修学位计划课程（不含毕业论文）达到28学分，可获得辅修专业证书。</w:t>
      </w:r>
    </w:p>
    <w:p w14:paraId="13007E16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74"/>
    <w:rsid w:val="00004BDF"/>
    <w:rsid w:val="00066D02"/>
    <w:rsid w:val="00156209"/>
    <w:rsid w:val="0017342F"/>
    <w:rsid w:val="001B5D0A"/>
    <w:rsid w:val="001F0BFF"/>
    <w:rsid w:val="00200FB6"/>
    <w:rsid w:val="002265AA"/>
    <w:rsid w:val="002311BB"/>
    <w:rsid w:val="0027715F"/>
    <w:rsid w:val="002867E2"/>
    <w:rsid w:val="002961D5"/>
    <w:rsid w:val="003A4977"/>
    <w:rsid w:val="003C7DC9"/>
    <w:rsid w:val="0044429B"/>
    <w:rsid w:val="00461B3A"/>
    <w:rsid w:val="004A065D"/>
    <w:rsid w:val="004D33E0"/>
    <w:rsid w:val="004F7D0A"/>
    <w:rsid w:val="005473DD"/>
    <w:rsid w:val="00547BA8"/>
    <w:rsid w:val="005A0D90"/>
    <w:rsid w:val="0060499B"/>
    <w:rsid w:val="00620A59"/>
    <w:rsid w:val="0063344F"/>
    <w:rsid w:val="00645C42"/>
    <w:rsid w:val="00661D2B"/>
    <w:rsid w:val="00681531"/>
    <w:rsid w:val="006B3687"/>
    <w:rsid w:val="006C1342"/>
    <w:rsid w:val="006C60F9"/>
    <w:rsid w:val="006E43F6"/>
    <w:rsid w:val="00746C5B"/>
    <w:rsid w:val="007726F1"/>
    <w:rsid w:val="00790E35"/>
    <w:rsid w:val="00796611"/>
    <w:rsid w:val="007D148E"/>
    <w:rsid w:val="007E1391"/>
    <w:rsid w:val="007F4B94"/>
    <w:rsid w:val="008427A2"/>
    <w:rsid w:val="008A7BE5"/>
    <w:rsid w:val="00915A4F"/>
    <w:rsid w:val="00A373D2"/>
    <w:rsid w:val="00A421D3"/>
    <w:rsid w:val="00A6115E"/>
    <w:rsid w:val="00AB51A9"/>
    <w:rsid w:val="00B21289"/>
    <w:rsid w:val="00B23B3B"/>
    <w:rsid w:val="00B36D30"/>
    <w:rsid w:val="00BB679A"/>
    <w:rsid w:val="00BC6B87"/>
    <w:rsid w:val="00BE2FF7"/>
    <w:rsid w:val="00C30D08"/>
    <w:rsid w:val="00C64284"/>
    <w:rsid w:val="00CF2091"/>
    <w:rsid w:val="00D33373"/>
    <w:rsid w:val="00D40801"/>
    <w:rsid w:val="00D8025B"/>
    <w:rsid w:val="00E52C60"/>
    <w:rsid w:val="00E57FCE"/>
    <w:rsid w:val="00EA5F63"/>
    <w:rsid w:val="00EB7F9B"/>
    <w:rsid w:val="00EF70E6"/>
    <w:rsid w:val="00F03CB2"/>
    <w:rsid w:val="00F37E74"/>
    <w:rsid w:val="00F57E5B"/>
    <w:rsid w:val="00F77AA5"/>
    <w:rsid w:val="00F9080B"/>
    <w:rsid w:val="00F962C1"/>
    <w:rsid w:val="00FB220C"/>
    <w:rsid w:val="00FB3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0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1466</Characters>
  <Lines>12</Lines>
  <Paragraphs>3</Paragraphs>
  <TotalTime>34</TotalTime>
  <ScaleCrop>false</ScaleCrop>
  <LinksUpToDate>false</LinksUpToDate>
  <CharactersWithSpaces>1472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2024-05-20T02:39:00Z</dcterms:created>
  <dc:creator>zty</dc:creator>
  <cp:lastModifiedBy>solanin</cp:lastModifiedBy>
  <dcterms:modified xsi:type="dcterms:W3CDTF">2025-05-15T07:01:06Z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eyJoZGlkIjoiYWNjZDkzZDU4Yjk5OTJkOWZjNDU0YTZjNWYyNjA4ZTIiLCJ1c2VySWQiOiI1OTM3MjQ4MzkifQ==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640853451A1741B99A0D28506D6F8075_13</vt:lpwstr>
  </property>
</Properties>
</file>