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73"/>
        <w:tblOverlap w:val="never"/>
        <w:tblW w:w="8379" w:type="dxa"/>
        <w:tblLook w:val="04A0" w:firstRow="1" w:lastRow="0" w:firstColumn="1" w:lastColumn="0" w:noHBand="0" w:noVBand="1"/>
      </w:tblPr>
      <w:tblGrid>
        <w:gridCol w:w="1101"/>
        <w:gridCol w:w="7278"/>
      </w:tblGrid>
      <w:tr w:rsidR="00A73F9C" w:rsidTr="00A73F9C">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44688C" w:rsidRDefault="00A73F9C" w:rsidP="00A73F9C">
            <w:pPr>
              <w:jc w:val="center"/>
              <w:rPr>
                <w:rFonts w:ascii="宋体" w:eastAsia="宋体" w:hAnsi="宋体" w:cs="宋体" w:hint="eastAsia"/>
                <w:b/>
                <w:sz w:val="28"/>
                <w:szCs w:val="28"/>
              </w:rPr>
            </w:pPr>
            <w:r w:rsidRPr="00A73F9C">
              <w:rPr>
                <w:rFonts w:ascii="宋体" w:eastAsia="宋体" w:hAnsi="宋体" w:cs="宋体" w:hint="eastAsia"/>
                <w:b/>
                <w:sz w:val="28"/>
                <w:szCs w:val="28"/>
              </w:rPr>
              <w:t xml:space="preserve">　江苏省基础学科拔尖学生培养计划2.0基地：</w:t>
            </w:r>
          </w:p>
          <w:p w:rsidR="00A73F9C" w:rsidRPr="00A73F9C" w:rsidRDefault="00A73F9C" w:rsidP="0044688C">
            <w:pPr>
              <w:jc w:val="center"/>
              <w:rPr>
                <w:rFonts w:ascii="宋体" w:eastAsia="宋体" w:hAnsi="宋体" w:cs="宋体"/>
                <w:b/>
                <w:sz w:val="28"/>
                <w:szCs w:val="28"/>
              </w:rPr>
            </w:pPr>
            <w:r w:rsidRPr="00A73F9C">
              <w:rPr>
                <w:rFonts w:ascii="宋体" w:eastAsia="宋体" w:hAnsi="宋体" w:cs="宋体" w:hint="eastAsia"/>
                <w:b/>
                <w:sz w:val="28"/>
                <w:szCs w:val="28"/>
              </w:rPr>
              <w:t>数学</w:t>
            </w:r>
            <w:r w:rsidR="0044688C">
              <w:rPr>
                <w:rFonts w:ascii="宋体" w:eastAsia="宋体" w:hAnsi="宋体" w:cs="宋体" w:hint="eastAsia"/>
                <w:b/>
                <w:sz w:val="28"/>
                <w:szCs w:val="28"/>
              </w:rPr>
              <w:t>（</w:t>
            </w:r>
            <w:r w:rsidR="0044688C" w:rsidRPr="0044688C">
              <w:rPr>
                <w:rFonts w:ascii="宋体" w:eastAsia="宋体" w:hAnsi="宋体" w:cs="宋体" w:hint="eastAsia"/>
                <w:b/>
                <w:sz w:val="28"/>
                <w:szCs w:val="28"/>
              </w:rPr>
              <w:t>数学与应用数学、信息与计算科学</w:t>
            </w:r>
            <w:r w:rsidR="0044688C" w:rsidRPr="0044688C">
              <w:rPr>
                <w:rFonts w:ascii="宋体" w:eastAsia="宋体" w:hAnsi="宋体" w:cs="宋体" w:hint="eastAsia"/>
                <w:b/>
                <w:sz w:val="28"/>
                <w:szCs w:val="28"/>
              </w:rPr>
              <w:t>）</w:t>
            </w:r>
          </w:p>
        </w:tc>
      </w:tr>
      <w:tr w:rsidR="00A73F9C" w:rsidTr="00A73F9C">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A73F9C" w:rsidRPr="00A73F9C" w:rsidRDefault="00A73F9C" w:rsidP="00A73F9C">
            <w:pPr>
              <w:jc w:val="center"/>
              <w:rPr>
                <w:rFonts w:ascii="宋体" w:eastAsia="宋体" w:hAnsi="宋体" w:cs="宋体"/>
                <w:b/>
                <w:sz w:val="28"/>
                <w:szCs w:val="28"/>
              </w:rPr>
            </w:pPr>
            <w:r w:rsidRPr="00A73F9C">
              <w:rPr>
                <w:rFonts w:ascii="宋体" w:eastAsia="宋体" w:hAnsi="宋体" w:cs="宋体" w:hint="eastAsia"/>
                <w:b/>
                <w:sz w:val="28"/>
                <w:szCs w:val="28"/>
              </w:rPr>
              <w:t>培养管理学院：数学学院</w:t>
            </w:r>
          </w:p>
        </w:tc>
      </w:tr>
      <w:tr w:rsidR="00A73F9C" w:rsidTr="00A73F9C">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A73F9C" w:rsidRPr="00A73F9C" w:rsidRDefault="00A73F9C" w:rsidP="00A73F9C">
            <w:pPr>
              <w:jc w:val="center"/>
              <w:rPr>
                <w:rFonts w:ascii="宋体" w:eastAsia="宋体" w:hAnsi="宋体" w:cs="宋体"/>
                <w:b/>
                <w:sz w:val="28"/>
                <w:szCs w:val="28"/>
              </w:rPr>
            </w:pPr>
            <w:r w:rsidRPr="00A73F9C">
              <w:rPr>
                <w:rFonts w:ascii="宋体" w:eastAsia="宋体" w:hAnsi="宋体" w:cs="宋体" w:hint="eastAsia"/>
                <w:b/>
                <w:sz w:val="28"/>
                <w:szCs w:val="28"/>
              </w:rPr>
              <w:t>咨询联系人：王老师        咨询QQ群号：882656052</w:t>
            </w:r>
          </w:p>
        </w:tc>
      </w:tr>
      <w:tr w:rsidR="00A73F9C" w:rsidTr="00AB2597">
        <w:trPr>
          <w:trHeight w:val="552"/>
        </w:trPr>
        <w:tc>
          <w:tcPr>
            <w:tcW w:w="1101" w:type="dxa"/>
            <w:tcBorders>
              <w:top w:val="nil"/>
              <w:left w:val="single" w:sz="4" w:space="0" w:color="auto"/>
              <w:bottom w:val="single" w:sz="4" w:space="0" w:color="auto"/>
              <w:right w:val="single" w:sz="4" w:space="0" w:color="auto"/>
            </w:tcBorders>
            <w:shd w:val="clear" w:color="auto" w:fill="auto"/>
            <w:vAlign w:val="center"/>
          </w:tcPr>
          <w:p w:rsidR="00A73F9C" w:rsidRDefault="00A73F9C" w:rsidP="00AB2597">
            <w:pPr>
              <w:jc w:val="center"/>
              <w:rPr>
                <w:rFonts w:ascii="宋体" w:eastAsia="宋体" w:hAnsi="宋体" w:cs="宋体"/>
              </w:rPr>
            </w:pPr>
            <w:r>
              <w:rPr>
                <w:rFonts w:ascii="宋体" w:eastAsia="宋体" w:hAnsi="宋体" w:cs="宋体" w:hint="eastAsia"/>
                <w:sz w:val="24"/>
              </w:rPr>
              <w:t>免试录取条件</w:t>
            </w:r>
          </w:p>
        </w:tc>
        <w:tc>
          <w:tcPr>
            <w:tcW w:w="7278" w:type="dxa"/>
            <w:tcBorders>
              <w:top w:val="nil"/>
              <w:left w:val="nil"/>
              <w:bottom w:val="single" w:sz="4" w:space="0" w:color="auto"/>
              <w:right w:val="single" w:sz="4" w:space="0" w:color="auto"/>
            </w:tcBorders>
            <w:shd w:val="clear" w:color="auto" w:fill="auto"/>
            <w:vAlign w:val="center"/>
          </w:tcPr>
          <w:p w:rsidR="00A73F9C" w:rsidRDefault="00A73F9C" w:rsidP="00A73F9C">
            <w:pPr>
              <w:jc w:val="left"/>
              <w:rPr>
                <w:rFonts w:ascii="宋体" w:eastAsia="宋体" w:hAnsi="宋体" w:cs="宋体"/>
              </w:rPr>
            </w:pPr>
            <w:r>
              <w:rPr>
                <w:rFonts w:ascii="宋体" w:eastAsia="宋体" w:hAnsi="宋体" w:cs="宋体" w:hint="eastAsia"/>
                <w:sz w:val="24"/>
              </w:rPr>
              <w:t>中国数学奥林匹克竞赛（CMO）中获得决赛三等奖（铜牌）及以上</w:t>
            </w:r>
          </w:p>
        </w:tc>
      </w:tr>
      <w:tr w:rsidR="00A73F9C" w:rsidTr="00AB2597">
        <w:trPr>
          <w:trHeight w:val="552"/>
        </w:trPr>
        <w:tc>
          <w:tcPr>
            <w:tcW w:w="1101" w:type="dxa"/>
            <w:tcBorders>
              <w:top w:val="nil"/>
              <w:left w:val="single" w:sz="4" w:space="0" w:color="auto"/>
              <w:bottom w:val="single" w:sz="4" w:space="0" w:color="auto"/>
              <w:right w:val="single" w:sz="4" w:space="0" w:color="auto"/>
            </w:tcBorders>
            <w:shd w:val="clear" w:color="auto" w:fill="auto"/>
            <w:vAlign w:val="center"/>
          </w:tcPr>
          <w:p w:rsidR="00A73F9C" w:rsidRDefault="00A73F9C" w:rsidP="00AB2597">
            <w:pPr>
              <w:jc w:val="center"/>
              <w:rPr>
                <w:rFonts w:ascii="宋体" w:eastAsia="宋体" w:hAnsi="宋体" w:cs="宋体"/>
              </w:rPr>
            </w:pPr>
            <w:r>
              <w:rPr>
                <w:rFonts w:ascii="宋体" w:eastAsia="宋体" w:hAnsi="宋体" w:cs="宋体" w:hint="eastAsia"/>
                <w:sz w:val="24"/>
              </w:rPr>
              <w:t>选拔报名条件</w:t>
            </w:r>
          </w:p>
        </w:tc>
        <w:tc>
          <w:tcPr>
            <w:tcW w:w="7278" w:type="dxa"/>
            <w:tcBorders>
              <w:top w:val="nil"/>
              <w:left w:val="nil"/>
              <w:bottom w:val="single" w:sz="4" w:space="0" w:color="auto"/>
              <w:right w:val="single" w:sz="4" w:space="0" w:color="auto"/>
            </w:tcBorders>
            <w:shd w:val="clear" w:color="auto" w:fill="auto"/>
            <w:vAlign w:val="center"/>
          </w:tcPr>
          <w:p w:rsidR="00A73F9C" w:rsidRDefault="00A73F9C" w:rsidP="00A73F9C">
            <w:pPr>
              <w:jc w:val="left"/>
              <w:rPr>
                <w:rFonts w:ascii="宋体" w:eastAsia="宋体" w:hAnsi="宋体" w:cs="宋体"/>
              </w:rPr>
            </w:pPr>
            <w:r>
              <w:rPr>
                <w:rFonts w:ascii="等线" w:eastAsia="等线" w:hAnsi="等线" w:cs="等线"/>
                <w:color w:val="000000"/>
                <w:sz w:val="22"/>
                <w:szCs w:val="22"/>
                <w:shd w:val="clear" w:color="auto" w:fill="FFFFFF"/>
              </w:rPr>
              <w:t>被我校录取的</w:t>
            </w:r>
            <w:r>
              <w:rPr>
                <w:rFonts w:ascii="等线" w:eastAsia="等线" w:hAnsi="等线" w:cs="等线" w:hint="eastAsia"/>
                <w:color w:val="000000"/>
                <w:sz w:val="22"/>
                <w:szCs w:val="22"/>
                <w:shd w:val="clear" w:color="auto" w:fill="FFFFFF"/>
              </w:rPr>
              <w:t>2024级新生均可报名参加选拔</w:t>
            </w:r>
            <w:bookmarkStart w:id="0" w:name="_GoBack"/>
            <w:bookmarkEnd w:id="0"/>
          </w:p>
        </w:tc>
      </w:tr>
      <w:tr w:rsidR="00A73F9C" w:rsidTr="00AB2597">
        <w:trPr>
          <w:trHeight w:val="3312"/>
        </w:trPr>
        <w:tc>
          <w:tcPr>
            <w:tcW w:w="1101" w:type="dxa"/>
            <w:tcBorders>
              <w:top w:val="nil"/>
              <w:left w:val="single" w:sz="4" w:space="0" w:color="auto"/>
              <w:bottom w:val="single" w:sz="4" w:space="0" w:color="auto"/>
              <w:right w:val="single" w:sz="4" w:space="0" w:color="auto"/>
            </w:tcBorders>
            <w:shd w:val="clear" w:color="auto" w:fill="auto"/>
            <w:vAlign w:val="center"/>
          </w:tcPr>
          <w:p w:rsidR="00A73F9C" w:rsidRDefault="00A73F9C" w:rsidP="00AB2597">
            <w:pPr>
              <w:jc w:val="center"/>
              <w:rPr>
                <w:rFonts w:ascii="宋体" w:eastAsia="宋体" w:hAnsi="宋体" w:cs="宋体"/>
              </w:rPr>
            </w:pPr>
            <w:r>
              <w:rPr>
                <w:rFonts w:ascii="宋体" w:eastAsia="宋体" w:hAnsi="宋体" w:cs="宋体" w:hint="eastAsia"/>
                <w:sz w:val="24"/>
              </w:rPr>
              <w:t>选拔考核要求</w:t>
            </w:r>
          </w:p>
        </w:tc>
        <w:tc>
          <w:tcPr>
            <w:tcW w:w="7278" w:type="dxa"/>
            <w:tcBorders>
              <w:top w:val="nil"/>
              <w:left w:val="nil"/>
              <w:bottom w:val="single" w:sz="4" w:space="0" w:color="auto"/>
              <w:right w:val="single" w:sz="4" w:space="0" w:color="auto"/>
            </w:tcBorders>
            <w:shd w:val="clear" w:color="auto" w:fill="auto"/>
          </w:tcPr>
          <w:p w:rsidR="00A73F9C" w:rsidRDefault="00A73F9C" w:rsidP="00A73F9C">
            <w:pPr>
              <w:numPr>
                <w:ilvl w:val="0"/>
                <w:numId w:val="3"/>
              </w:numPr>
              <w:spacing w:line="360" w:lineRule="auto"/>
              <w:jc w:val="left"/>
              <w:rPr>
                <w:rFonts w:ascii="宋体" w:eastAsia="宋体" w:hAnsi="宋体" w:cs="宋体"/>
              </w:rPr>
            </w:pPr>
            <w:r>
              <w:rPr>
                <w:rFonts w:ascii="宋体" w:eastAsia="宋体" w:hAnsi="宋体" w:cs="宋体" w:hint="eastAsia"/>
                <w:sz w:val="24"/>
              </w:rPr>
              <w:t>初试：笔试科目为</w:t>
            </w:r>
            <w:r w:rsidRPr="00475344">
              <w:rPr>
                <w:rFonts w:ascii="宋体" w:eastAsia="宋体" w:hAnsi="宋体" w:cs="宋体" w:hint="eastAsia"/>
                <w:sz w:val="24"/>
                <w:highlight w:val="yellow"/>
              </w:rPr>
              <w:t>数学基础</w:t>
            </w:r>
            <w:r>
              <w:rPr>
                <w:rFonts w:ascii="宋体" w:eastAsia="宋体" w:hAnsi="宋体" w:cs="宋体" w:hint="eastAsia"/>
                <w:sz w:val="24"/>
              </w:rPr>
              <w:t>（满分100分)，由教务处统一组织。</w:t>
            </w:r>
          </w:p>
          <w:p w:rsidR="00A73F9C" w:rsidRDefault="00A73F9C" w:rsidP="00A73F9C">
            <w:pPr>
              <w:numPr>
                <w:ilvl w:val="0"/>
                <w:numId w:val="3"/>
              </w:numPr>
              <w:spacing w:line="360" w:lineRule="auto"/>
              <w:jc w:val="left"/>
              <w:rPr>
                <w:rFonts w:ascii="宋体" w:eastAsia="宋体" w:hAnsi="宋体" w:cs="宋体"/>
              </w:rPr>
            </w:pPr>
            <w:r>
              <w:rPr>
                <w:rFonts w:ascii="宋体" w:eastAsia="宋体" w:hAnsi="宋体" w:cs="宋体" w:hint="eastAsia"/>
                <w:sz w:val="24"/>
              </w:rPr>
              <w:t>复试：根据初试成绩从高到低排序，按照不超过 1:3的差额比例确定复试名单，末位同分者均可进入复试。由数学学院组织分组面试，考核英语能力、基础能力、综合能力。成绩组成为英语30分，基础能力30分，综合能力40分。高中阶段在全国高中数学联赛（全国中学生数学奥林匹克竞赛初赛）获一等奖及以上的考生可免笔试，直接进入面试阶段，不受上述复试人数限制。</w:t>
            </w:r>
          </w:p>
          <w:p w:rsidR="00A73F9C" w:rsidRPr="00CF4AA0" w:rsidRDefault="00A73F9C" w:rsidP="00A73F9C">
            <w:pPr>
              <w:numPr>
                <w:ilvl w:val="0"/>
                <w:numId w:val="3"/>
              </w:numPr>
              <w:spacing w:line="360" w:lineRule="auto"/>
              <w:jc w:val="left"/>
              <w:rPr>
                <w:rFonts w:ascii="宋体" w:eastAsia="宋体" w:hAnsi="宋体" w:cs="宋体"/>
                <w:sz w:val="24"/>
              </w:rPr>
            </w:pPr>
            <w:r>
              <w:rPr>
                <w:rFonts w:ascii="宋体" w:eastAsia="宋体" w:hAnsi="宋体" w:cs="宋体" w:hint="eastAsia"/>
                <w:sz w:val="24"/>
              </w:rPr>
              <w:t>综合成绩计算办法：综合成绩=初试*60%+复试*40%</w:t>
            </w:r>
            <w:r w:rsidR="00CF4AA0">
              <w:rPr>
                <w:rFonts w:ascii="宋体" w:eastAsia="宋体" w:hAnsi="宋体" w:cs="宋体" w:hint="eastAsia"/>
                <w:sz w:val="24"/>
              </w:rPr>
              <w:t>。</w:t>
            </w:r>
          </w:p>
          <w:p w:rsidR="00A73F9C" w:rsidRDefault="00A73F9C" w:rsidP="00A73F9C">
            <w:pPr>
              <w:numPr>
                <w:ilvl w:val="0"/>
                <w:numId w:val="3"/>
              </w:numPr>
              <w:spacing w:line="360" w:lineRule="auto"/>
              <w:jc w:val="left"/>
              <w:rPr>
                <w:rFonts w:ascii="宋体" w:eastAsia="宋体" w:hAnsi="宋体" w:cs="宋体"/>
              </w:rPr>
            </w:pPr>
            <w:r>
              <w:rPr>
                <w:rFonts w:ascii="宋体" w:eastAsia="宋体" w:hAnsi="宋体" w:cs="宋体" w:hint="eastAsia"/>
                <w:sz w:val="24"/>
              </w:rPr>
              <w:t>录取：对于面试成绩在80分及以上的考生，按综合成绩排序，择优录取不超过15人，其中在全国高中数学联赛（全国中学生数学奥林匹克竞赛初赛）获一等奖及以上的考生予以优先录取；对于面试成绩低于80分的考生，不予录取。</w:t>
            </w:r>
          </w:p>
        </w:tc>
      </w:tr>
    </w:tbl>
    <w:p w:rsidR="00A90E52" w:rsidRPr="00A73F9C" w:rsidRDefault="00A90E52" w:rsidP="00A90E52">
      <w:pPr>
        <w:pStyle w:val="a5"/>
        <w:widowControl/>
        <w:spacing w:beforeAutospacing="0" w:afterAutospacing="0"/>
        <w:jc w:val="center"/>
        <w:rPr>
          <w:rStyle w:val="a6"/>
          <w:sz w:val="28"/>
          <w:szCs w:val="28"/>
        </w:rPr>
      </w:pPr>
    </w:p>
    <w:p w:rsidR="00A90E52" w:rsidRPr="00A90E52" w:rsidRDefault="00A90E52" w:rsidP="00A90E52">
      <w:pPr>
        <w:pStyle w:val="a5"/>
        <w:widowControl/>
        <w:spacing w:beforeAutospacing="0" w:afterAutospacing="0"/>
        <w:jc w:val="center"/>
        <w:rPr>
          <w:sz w:val="28"/>
          <w:szCs w:val="28"/>
        </w:rPr>
      </w:pPr>
      <w:r w:rsidRPr="00A90E52">
        <w:rPr>
          <w:rStyle w:val="a6"/>
          <w:rFonts w:hint="eastAsia"/>
          <w:sz w:val="28"/>
          <w:szCs w:val="28"/>
        </w:rPr>
        <w:t>项目</w:t>
      </w:r>
      <w:r w:rsidRPr="00A90E52">
        <w:rPr>
          <w:rStyle w:val="a6"/>
          <w:sz w:val="28"/>
          <w:szCs w:val="28"/>
        </w:rPr>
        <w:t>简介</w:t>
      </w:r>
    </w:p>
    <w:p w:rsidR="00A90E52" w:rsidRDefault="00A90E52" w:rsidP="00A90E52">
      <w:pPr>
        <w:pStyle w:val="a5"/>
        <w:widowControl/>
        <w:spacing w:beforeAutospacing="0" w:afterAutospacing="0"/>
        <w:ind w:firstLine="450"/>
      </w:pPr>
      <w:r>
        <w:t>东南大学数学拔尖学生培养基地，依托东南大学</w:t>
      </w:r>
      <w:r>
        <w:rPr>
          <w:rStyle w:val="a6"/>
          <w:color w:val="3965B4"/>
        </w:rPr>
        <w:t>数学与应用数学、信息与计算科学两个国家级一流本科专业建设点、数学和系统科学两个一级学科博士点、统计学硕士点</w:t>
      </w:r>
      <w:r>
        <w:t>进行建设。基地于</w:t>
      </w:r>
      <w:r>
        <w:t>2022</w:t>
      </w:r>
      <w:r>
        <w:t>年</w:t>
      </w:r>
      <w:r>
        <w:t>12</w:t>
      </w:r>
      <w:r>
        <w:t>月入选江苏省基础学科拔尖学生培养计划</w:t>
      </w:r>
      <w:r>
        <w:t>2.0</w:t>
      </w:r>
      <w:r>
        <w:t>基地，目标是建成在国内有重要影响力、在国际上有一定知名度的数学拔尖人才培养基地，培养一批有潜力的数学拔尖人才和相关科技领域的领军人才。基地采取</w:t>
      </w:r>
      <w:r>
        <w:rPr>
          <w:rStyle w:val="a6"/>
          <w:color w:val="3965B4"/>
        </w:rPr>
        <w:t>小班化、个性化、本</w:t>
      </w:r>
      <w:proofErr w:type="gramStart"/>
      <w:r>
        <w:rPr>
          <w:rStyle w:val="a6"/>
          <w:color w:val="3965B4"/>
        </w:rPr>
        <w:t>研</w:t>
      </w:r>
      <w:proofErr w:type="gramEnd"/>
      <w:r>
        <w:rPr>
          <w:rStyle w:val="a6"/>
          <w:color w:val="3965B4"/>
        </w:rPr>
        <w:t>一体化</w:t>
      </w:r>
      <w:r>
        <w:t>的培养模式，以导师</w:t>
      </w:r>
      <w:proofErr w:type="gramStart"/>
      <w:r>
        <w:t>制做</w:t>
      </w:r>
      <w:proofErr w:type="gramEnd"/>
      <w:r>
        <w:t>保障，以国际化做助推，每年</w:t>
      </w:r>
      <w:r>
        <w:rPr>
          <w:rStyle w:val="a6"/>
          <w:color w:val="3965B4"/>
        </w:rPr>
        <w:t>从全校新生中遴选一定数量的优秀学生组成数学拔尖班</w:t>
      </w:r>
      <w:r>
        <w:t>，进行重点培养，以充分激发学生的创新活力和发展潜能，并发挥拔尖学生的示范和带动效应。</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lastRenderedPageBreak/>
        <w:t> </w:t>
      </w:r>
      <w:r>
        <w:rPr>
          <w:rStyle w:val="a6"/>
        </w:rPr>
        <w:t>人才培养目标</w:t>
      </w:r>
      <w:r>
        <w:rPr>
          <w:rStyle w:val="a6"/>
        </w:rPr>
        <w:t>  </w:t>
      </w:r>
    </w:p>
    <w:p w:rsidR="00A90E52" w:rsidRDefault="00A90E52" w:rsidP="00A90E52">
      <w:pPr>
        <w:pStyle w:val="a5"/>
        <w:widowControl/>
        <w:spacing w:beforeAutospacing="0" w:afterAutospacing="0"/>
        <w:ind w:firstLine="450"/>
      </w:pPr>
      <w:r>
        <w:t>面向国家战略需求与社会发展需要，坚持立德树人、科学选才、精心育才、厚植土壤，聚焦数学和系统科学两个学科领域，培养数学理论基础扎实，思维品质优秀，创新意识强烈和创新能力突出，具有家国情怀和国际视野，敢于攻克关键领域卡脖子问题，勇于攀登世界科学高峰，能够引领推动学科未来发展，在高等院校、科研院所、高科技企业等部门从事教学、研究和应用开发工作的数学拔尖人才和相关科技领域的领军人才。</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学生能力素质要求</w:t>
      </w:r>
      <w:r>
        <w:rPr>
          <w:rStyle w:val="a6"/>
        </w:rPr>
        <w:t>  </w:t>
      </w:r>
    </w:p>
    <w:p w:rsidR="00A90E52" w:rsidRDefault="00A90E52" w:rsidP="00A90E52">
      <w:pPr>
        <w:pStyle w:val="a5"/>
        <w:widowControl/>
        <w:spacing w:beforeAutospacing="0" w:afterAutospacing="0"/>
        <w:ind w:firstLine="420"/>
      </w:pPr>
      <w:r>
        <w:t>毕业生应具备坚定的理想信念、远大的发展志向、强烈的社会责任感，坚实的基础理论知识、优良的人文社科素养，具有突出的自主学习、独立思考和研究创新能力，优秀的交流表达能力、宽广的国际化视野和卓越的领导力素养。</w:t>
      </w:r>
    </w:p>
    <w:p w:rsidR="00A90E52" w:rsidRDefault="00A90E52" w:rsidP="00A90E52">
      <w:pPr>
        <w:pStyle w:val="a5"/>
        <w:widowControl/>
        <w:spacing w:beforeAutospacing="0" w:afterAutospacing="0"/>
      </w:pPr>
    </w:p>
    <w:p w:rsidR="00A90E52" w:rsidRDefault="00A90E52" w:rsidP="00A90E52">
      <w:pPr>
        <w:pStyle w:val="a5"/>
        <w:widowControl/>
        <w:numPr>
          <w:ilvl w:val="0"/>
          <w:numId w:val="1"/>
        </w:numPr>
        <w:spacing w:beforeAutospacing="0" w:afterAutospacing="0"/>
        <w:rPr>
          <w:rStyle w:val="a6"/>
        </w:rPr>
      </w:pPr>
      <w:r>
        <w:rPr>
          <w:rStyle w:val="a6"/>
        </w:rPr>
        <w:t>培养模式</w:t>
      </w:r>
    </w:p>
    <w:p w:rsidR="00A90E52" w:rsidRDefault="00A90E52" w:rsidP="00A90E52">
      <w:pPr>
        <w:pStyle w:val="a5"/>
        <w:widowControl/>
        <w:spacing w:beforeAutospacing="0" w:afterAutospacing="0"/>
        <w:rPr>
          <w:rStyle w:val="a6"/>
        </w:rPr>
      </w:pPr>
    </w:p>
    <w:p w:rsidR="00A90E52" w:rsidRDefault="00A90E52" w:rsidP="00A90E52">
      <w:pPr>
        <w:pStyle w:val="a5"/>
        <w:widowControl/>
        <w:spacing w:beforeAutospacing="0" w:afterAutospacing="0"/>
      </w:pPr>
      <w:r>
        <w:rPr>
          <w:rStyle w:val="a6"/>
        </w:rPr>
        <w:t>拔尖生荣誉课程</w:t>
      </w:r>
    </w:p>
    <w:p w:rsidR="00A90E52" w:rsidRDefault="00A90E52" w:rsidP="00A90E52">
      <w:pPr>
        <w:pStyle w:val="a5"/>
        <w:widowControl/>
        <w:spacing w:beforeAutospacing="0" w:afterAutospacing="0"/>
        <w:ind w:firstLine="450"/>
      </w:pPr>
      <w:r>
        <w:t>设立</w:t>
      </w:r>
      <w:r>
        <w:rPr>
          <w:rStyle w:val="a6"/>
          <w:color w:val="3965B4"/>
        </w:rPr>
        <w:t>5</w:t>
      </w:r>
      <w:r>
        <w:rPr>
          <w:rStyle w:val="a6"/>
          <w:color w:val="3965B4"/>
        </w:rPr>
        <w:t>门专业主干课程</w:t>
      </w:r>
      <w:r>
        <w:t>为荣誉课程，</w:t>
      </w:r>
      <w:r>
        <w:rPr>
          <w:rStyle w:val="a6"/>
          <w:color w:val="3965B4"/>
        </w:rPr>
        <w:t>聘请学术造诣精湛、教学水准高的校内外专家学者进行授课</w:t>
      </w:r>
      <w:r>
        <w:t>，通过创新课程体系、引进最新前沿进展、提升课程高阶性和挑战度、改革评价方式等措施，助力学生夯实基础和未来更好发展。</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拔尖生导师制</w:t>
      </w:r>
    </w:p>
    <w:p w:rsidR="00A90E52" w:rsidRDefault="00A90E52" w:rsidP="00A90E52">
      <w:pPr>
        <w:pStyle w:val="a5"/>
        <w:widowControl/>
        <w:spacing w:beforeAutospacing="0" w:afterAutospacing="0"/>
        <w:ind w:firstLine="450"/>
      </w:pPr>
      <w:r>
        <w:t>全程实施</w:t>
      </w:r>
      <w:r>
        <w:t>“</w:t>
      </w:r>
      <w:r>
        <w:rPr>
          <w:rStyle w:val="a6"/>
          <w:color w:val="3965B4"/>
        </w:rPr>
        <w:t>拔尖生导师制</w:t>
      </w:r>
      <w:r>
        <w:t>”</w:t>
      </w:r>
      <w:r>
        <w:t>，学生</w:t>
      </w:r>
      <w:r>
        <w:t>100%</w:t>
      </w:r>
      <w:r>
        <w:t>配备学业导师、科研导师和生活导师，在思想引领、学业指导、科研引路、生涯规划等当面给予全方位指导。汇聚一批师德高尚的博士生导师参与拔尖生培养，通过导师言传身教，加强对拔尖学生的精神感召、学术引领和人生指导，让学生通过耳濡目染激发学术兴趣和创新潜能。</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拔尖生研学计划</w:t>
      </w:r>
    </w:p>
    <w:p w:rsidR="00A90E52" w:rsidRDefault="00A90E52" w:rsidP="00A90E52">
      <w:pPr>
        <w:pStyle w:val="a5"/>
        <w:widowControl/>
        <w:spacing w:beforeAutospacing="0" w:afterAutospacing="0"/>
        <w:ind w:firstLine="450"/>
      </w:pPr>
      <w:r>
        <w:t> </w:t>
      </w:r>
      <w:r>
        <w:t>设立一批</w:t>
      </w:r>
      <w:r>
        <w:t>“</w:t>
      </w:r>
      <w:r>
        <w:rPr>
          <w:rStyle w:val="a6"/>
          <w:color w:val="3965B4"/>
        </w:rPr>
        <w:t>拔尖</w:t>
      </w:r>
      <w:proofErr w:type="gramStart"/>
      <w:r>
        <w:rPr>
          <w:rStyle w:val="a6"/>
          <w:color w:val="3965B4"/>
        </w:rPr>
        <w:t>研</w:t>
      </w:r>
      <w:proofErr w:type="gramEnd"/>
      <w:r>
        <w:rPr>
          <w:rStyle w:val="a6"/>
          <w:color w:val="3965B4"/>
        </w:rPr>
        <w:t>学项目</w:t>
      </w:r>
      <w:r>
        <w:t>”</w:t>
      </w:r>
      <w:r>
        <w:t>，新生入学后组队申报，按照三年期资助。</w:t>
      </w:r>
      <w:r>
        <w:rPr>
          <w:rStyle w:val="a6"/>
          <w:color w:val="3965B4"/>
        </w:rPr>
        <w:t>资助学生早进课题组</w:t>
      </w:r>
      <w:r>
        <w:t>，在导师指导下开设研讨班，研读专业经典著作，开展学术研究，并鼓励学生开展校外学术交流，促进学生产出自己的科研成果。结合国家应用数学中心、省部级科研平台、校企联合创新实验室和东南大学丘成</w:t>
      </w:r>
      <w:proofErr w:type="gramStart"/>
      <w:r>
        <w:t>桐中心</w:t>
      </w:r>
      <w:proofErr w:type="gramEnd"/>
      <w:r>
        <w:t>的科研项目资源，定期向学生发布</w:t>
      </w:r>
      <w:r>
        <w:t>SRTP</w:t>
      </w:r>
      <w:r>
        <w:t>项目指南，</w:t>
      </w:r>
      <w:r>
        <w:rPr>
          <w:rStyle w:val="a6"/>
          <w:color w:val="3965B4"/>
        </w:rPr>
        <w:t>100%</w:t>
      </w:r>
      <w:r>
        <w:rPr>
          <w:rStyle w:val="a6"/>
          <w:color w:val="3965B4"/>
        </w:rPr>
        <w:t>学生参加导师</w:t>
      </w:r>
      <w:r>
        <w:rPr>
          <w:rStyle w:val="a6"/>
          <w:color w:val="3965B4"/>
        </w:rPr>
        <w:t>SRTP</w:t>
      </w:r>
      <w:r>
        <w:rPr>
          <w:rStyle w:val="a6"/>
          <w:color w:val="3965B4"/>
        </w:rPr>
        <w:t>课题研究</w:t>
      </w:r>
      <w:r>
        <w:t>，亲历一次以上系统</w:t>
      </w:r>
      <w:proofErr w:type="gramStart"/>
      <w:r>
        <w:t>研</w:t>
      </w:r>
      <w:proofErr w:type="gramEnd"/>
      <w:r>
        <w:t>学训练。</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rPr>
          <w:rStyle w:val="a6"/>
        </w:rPr>
      </w:pPr>
      <w:r>
        <w:rPr>
          <w:rStyle w:val="a6"/>
        </w:rPr>
        <w:t> </w:t>
      </w:r>
      <w:r>
        <w:rPr>
          <w:rStyle w:val="a6"/>
        </w:rPr>
        <w:t>拔尖生竞赛实践平台</w:t>
      </w:r>
    </w:p>
    <w:p w:rsidR="00A90E52" w:rsidRDefault="00A90E52" w:rsidP="00A90E52">
      <w:pPr>
        <w:pStyle w:val="a5"/>
        <w:widowControl/>
        <w:spacing w:beforeAutospacing="0" w:afterAutospacing="0"/>
        <w:ind w:firstLineChars="200" w:firstLine="482"/>
      </w:pPr>
      <w:r>
        <w:rPr>
          <w:rStyle w:val="a6"/>
          <w:color w:val="3965B4"/>
        </w:rPr>
        <w:t>鼓励学生</w:t>
      </w:r>
      <w:r>
        <w:rPr>
          <w:rStyle w:val="a6"/>
          <w:color w:val="3965B4"/>
        </w:rPr>
        <w:t>100%</w:t>
      </w:r>
      <w:r>
        <w:rPr>
          <w:rStyle w:val="a6"/>
          <w:color w:val="3965B4"/>
        </w:rPr>
        <w:t>参加学科竞赛。</w:t>
      </w:r>
      <w:r>
        <w:t>针对全国大学生数学竞赛、全国大学生数学建模竞赛、丘成桐大学生数学竞赛、阿里巴巴全球数学竞赛等竞赛，组织校内外专家为学生开设系列辅导课程，强化对数学基础知识的领悟和运用，拓展思维深度广度，提升专业技能素养，激发创新活力潜能。以课题组方式推进科学研究，孵化</w:t>
      </w:r>
      <w:r>
        <w:t>“</w:t>
      </w:r>
      <w:r>
        <w:t>互联网</w:t>
      </w:r>
      <w:r>
        <w:t>+”</w:t>
      </w:r>
      <w:r>
        <w:t>大赛、</w:t>
      </w:r>
      <w:r>
        <w:t>“</w:t>
      </w:r>
      <w:r>
        <w:t>挑战杯</w:t>
      </w:r>
      <w:r>
        <w:t>”</w:t>
      </w:r>
      <w:r>
        <w:t>赛等创新创业成果，助燃创新动力。带领学生走访参观华为、</w:t>
      </w:r>
      <w:proofErr w:type="gramStart"/>
      <w:r>
        <w:t>腾讯等</w:t>
      </w:r>
      <w:proofErr w:type="gramEnd"/>
      <w:r>
        <w:t>头部企业，资助学生开展实习实践。</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学术重镇交流计划</w:t>
      </w:r>
    </w:p>
    <w:p w:rsidR="00A90E52" w:rsidRDefault="00A90E52" w:rsidP="00A90E52">
      <w:pPr>
        <w:pStyle w:val="a5"/>
        <w:widowControl/>
        <w:spacing w:beforeAutospacing="0" w:afterAutospacing="0"/>
        <w:ind w:firstLine="450"/>
      </w:pPr>
      <w:r>
        <w:lastRenderedPageBreak/>
        <w:t>汇聚全球优质资源，深化与清华大学丘成桐数学科学中心、加州大学伯克利分校等顶尖名校数学重镇的合作，吸引国际学术大师参与拔尖人才培养，组织选派拔尖生进入国内外数学一流科研院所进行学期交换和暑期学校学习，接受大师耳濡目染和环境熏陶，接触学科最前沿。加大对出国（境）交流学习的支持力度，</w:t>
      </w:r>
      <w:r>
        <w:rPr>
          <w:rStyle w:val="a6"/>
          <w:color w:val="3965B4"/>
        </w:rPr>
        <w:t>鼓励学生</w:t>
      </w:r>
      <w:r>
        <w:rPr>
          <w:rStyle w:val="a6"/>
          <w:color w:val="3965B4"/>
        </w:rPr>
        <w:t>100%</w:t>
      </w:r>
      <w:r>
        <w:rPr>
          <w:rStyle w:val="a6"/>
          <w:color w:val="3965B4"/>
        </w:rPr>
        <w:t>到世界一流大学学习交流竞技。</w:t>
      </w:r>
      <w:r>
        <w:t>为学生提供</w:t>
      </w:r>
      <w:r>
        <w:t>“</w:t>
      </w:r>
      <w:r>
        <w:t>访学</w:t>
      </w:r>
      <w:r>
        <w:t>-</w:t>
      </w:r>
      <w:r>
        <w:t>科研</w:t>
      </w:r>
      <w:r>
        <w:t>-</w:t>
      </w:r>
      <w:r>
        <w:t>竞赛</w:t>
      </w:r>
      <w:r>
        <w:t>-</w:t>
      </w:r>
      <w:r>
        <w:t>毕设</w:t>
      </w:r>
      <w:r>
        <w:t>-</w:t>
      </w:r>
      <w:r>
        <w:t>联合培养</w:t>
      </w:r>
      <w:r>
        <w:t>”</w:t>
      </w:r>
      <w:r>
        <w:t>等多样化的交流方式，拓展</w:t>
      </w:r>
      <w:r>
        <w:t>“</w:t>
      </w:r>
      <w:r>
        <w:t>整建制</w:t>
      </w:r>
      <w:r>
        <w:t>-</w:t>
      </w:r>
      <w:r>
        <w:t>小团队</w:t>
      </w:r>
      <w:r>
        <w:t>-</w:t>
      </w:r>
      <w:r>
        <w:t>个人</w:t>
      </w:r>
      <w:r>
        <w:t>”</w:t>
      </w:r>
      <w:r>
        <w:t>等多层次的交流模式。</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本</w:t>
      </w:r>
      <w:proofErr w:type="gramStart"/>
      <w:r>
        <w:rPr>
          <w:rStyle w:val="a6"/>
        </w:rPr>
        <w:t>研</w:t>
      </w:r>
      <w:proofErr w:type="gramEnd"/>
      <w:r>
        <w:rPr>
          <w:rStyle w:val="a6"/>
        </w:rPr>
        <w:t>一体化培养</w:t>
      </w:r>
    </w:p>
    <w:p w:rsidR="00A90E52" w:rsidRDefault="00A90E52" w:rsidP="00A90E52">
      <w:pPr>
        <w:pStyle w:val="a5"/>
        <w:widowControl/>
        <w:spacing w:beforeAutospacing="0" w:afterAutospacing="0"/>
        <w:ind w:firstLine="420"/>
      </w:pPr>
      <w:r>
        <w:t>本科高年级开设高阶选修课和本</w:t>
      </w:r>
      <w:proofErr w:type="gramStart"/>
      <w:r>
        <w:t>研</w:t>
      </w:r>
      <w:proofErr w:type="gramEnd"/>
      <w:r>
        <w:t>衔接课程，指导学生提前修读研究生课程，促进课程学习本</w:t>
      </w:r>
      <w:proofErr w:type="gramStart"/>
      <w:r>
        <w:t>研</w:t>
      </w:r>
      <w:proofErr w:type="gramEnd"/>
      <w:r>
        <w:t>一体化。设立理科大讲堂，邀请院士名家介绍学术前沿，培养创新意识。开设</w:t>
      </w:r>
      <w:proofErr w:type="gramStart"/>
      <w:r>
        <w:t>研</w:t>
      </w:r>
      <w:proofErr w:type="gramEnd"/>
      <w:r>
        <w:t>学讲座，邀请业界专家介绍科技进展。通过构建</w:t>
      </w:r>
      <w:r>
        <w:t>“</w:t>
      </w:r>
      <w:r>
        <w:t>大师讲堂</w:t>
      </w:r>
      <w:r>
        <w:t>-</w:t>
      </w:r>
      <w:proofErr w:type="gramStart"/>
      <w:r>
        <w:t>研</w:t>
      </w:r>
      <w:proofErr w:type="gramEnd"/>
      <w:r>
        <w:t>学项目</w:t>
      </w:r>
      <w:r>
        <w:t>-</w:t>
      </w:r>
      <w:r>
        <w:t>学科竞赛</w:t>
      </w:r>
      <w:r>
        <w:t>”</w:t>
      </w:r>
      <w:r>
        <w:t>进阶式研究型教学体系，把本科阶段的</w:t>
      </w:r>
      <w:proofErr w:type="gramStart"/>
      <w:r>
        <w:t>研</w:t>
      </w:r>
      <w:proofErr w:type="gramEnd"/>
      <w:r>
        <w:t>学项目、学科竞赛与研究生阶段的课题研究相衔接，促进从本科学习阶段向研究生学习阶段的自然延伸，让学生在本</w:t>
      </w:r>
      <w:proofErr w:type="gramStart"/>
      <w:r>
        <w:t>研</w:t>
      </w:r>
      <w:proofErr w:type="gramEnd"/>
      <w:r>
        <w:t>一体化沉浸式</w:t>
      </w:r>
      <w:proofErr w:type="gramStart"/>
      <w:r>
        <w:t>研</w:t>
      </w:r>
      <w:proofErr w:type="gramEnd"/>
      <w:r>
        <w:t>学环境中持续提升创新研究能力。建立本</w:t>
      </w:r>
      <w:proofErr w:type="gramStart"/>
      <w:r>
        <w:t>研</w:t>
      </w:r>
      <w:proofErr w:type="gramEnd"/>
      <w:r>
        <w:t>一体培养的激励机制，拔尖计划学生将拥有</w:t>
      </w:r>
      <w:proofErr w:type="gramStart"/>
      <w:r>
        <w:t>更多推免读研</w:t>
      </w:r>
      <w:proofErr w:type="gramEnd"/>
      <w:r>
        <w:t>的机会。</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二</w:t>
      </w:r>
      <w:r>
        <w:rPr>
          <w:rStyle w:val="a6"/>
          <w:rFonts w:hint="eastAsia"/>
        </w:rPr>
        <w:t>、</w:t>
      </w:r>
      <w:r>
        <w:rPr>
          <w:rStyle w:val="a6"/>
        </w:rPr>
        <w:t>动态进出机制</w:t>
      </w:r>
    </w:p>
    <w:p w:rsidR="00A90E52" w:rsidRDefault="00A90E52" w:rsidP="00A90E52">
      <w:pPr>
        <w:widowControl/>
        <w:jc w:val="left"/>
      </w:pPr>
    </w:p>
    <w:p w:rsidR="00A90E52" w:rsidRDefault="00A90E52" w:rsidP="00A90E52">
      <w:pPr>
        <w:pStyle w:val="a5"/>
        <w:widowControl/>
        <w:spacing w:beforeAutospacing="0" w:afterAutospacing="0"/>
      </w:pPr>
      <w:r>
        <w:rPr>
          <w:rStyle w:val="a6"/>
        </w:rPr>
        <w:t>选拔机制</w:t>
      </w:r>
    </w:p>
    <w:p w:rsidR="00A90E52" w:rsidRDefault="00A90E52" w:rsidP="00A90E52">
      <w:pPr>
        <w:pStyle w:val="a5"/>
        <w:widowControl/>
        <w:spacing w:beforeAutospacing="0" w:afterAutospacing="0"/>
        <w:ind w:firstLine="450"/>
      </w:pPr>
      <w:r>
        <w:t>拔尖计划学生</w:t>
      </w:r>
      <w:r>
        <w:rPr>
          <w:rStyle w:val="a6"/>
          <w:color w:val="3965B4"/>
        </w:rPr>
        <w:t>每届选拔</w:t>
      </w:r>
      <w:r>
        <w:rPr>
          <w:rStyle w:val="a6"/>
          <w:color w:val="3965B4"/>
        </w:rPr>
        <w:t>20</w:t>
      </w:r>
      <w:r>
        <w:rPr>
          <w:rStyle w:val="a6"/>
          <w:color w:val="3965B4"/>
        </w:rPr>
        <w:t>人左右</w:t>
      </w:r>
      <w:r>
        <w:t>，做到</w:t>
      </w:r>
      <w:proofErr w:type="gramStart"/>
      <w:r>
        <w:t>”</w:t>
      </w:r>
      <w:proofErr w:type="gramEnd"/>
      <w:r>
        <w:t>优中选优</w:t>
      </w:r>
      <w:proofErr w:type="gramStart"/>
      <w:r>
        <w:t>”</w:t>
      </w:r>
      <w:proofErr w:type="gramEnd"/>
      <w:r>
        <w:t>。建立科学化、多阶段的动态进出机制，通过新生入校后二次</w:t>
      </w:r>
      <w:proofErr w:type="gramStart"/>
      <w:r>
        <w:t>选拔选鉴拔尖</w:t>
      </w:r>
      <w:proofErr w:type="gramEnd"/>
      <w:r>
        <w:t>学生；设立退出机制，按学年进行跟踪考核，并适时补充优质生源。</w:t>
      </w:r>
    </w:p>
    <w:p w:rsidR="00A90E52" w:rsidRDefault="00A90E52" w:rsidP="00A90E52">
      <w:pPr>
        <w:pStyle w:val="a5"/>
        <w:widowControl/>
        <w:spacing w:beforeAutospacing="0" w:afterAutospacing="0"/>
        <w:ind w:firstLine="450"/>
      </w:pPr>
    </w:p>
    <w:p w:rsidR="00A90E52" w:rsidRDefault="00A90E52" w:rsidP="00A90E52">
      <w:pPr>
        <w:pStyle w:val="a5"/>
        <w:widowControl/>
        <w:spacing w:beforeAutospacing="0" w:afterAutospacing="0"/>
      </w:pPr>
      <w:r>
        <w:rPr>
          <w:rStyle w:val="a6"/>
        </w:rPr>
        <w:t>退出机制</w:t>
      </w:r>
    </w:p>
    <w:p w:rsidR="00A90E52" w:rsidRDefault="00A90E52" w:rsidP="00A90E52">
      <w:pPr>
        <w:pStyle w:val="a5"/>
        <w:widowControl/>
        <w:spacing w:beforeAutospacing="0" w:afterAutospacing="0"/>
        <w:ind w:firstLine="450"/>
      </w:pPr>
      <w:r>
        <w:t>每学年对学生进行考核，</w:t>
      </w:r>
      <w:r>
        <w:rPr>
          <w:rStyle w:val="a6"/>
          <w:color w:val="3965B4"/>
        </w:rPr>
        <w:t>对学习成绩明显下滑、出现课程（首修）不及格的学生给予预警</w:t>
      </w:r>
      <w:r>
        <w:t>。对于主动提出退出拔尖班培养，以及出现考试作弊、学术不端、一定门数课程（首修）不及格等情况的学生，经考核专家组认定不适合继续在拔尖班进行培养的，将其退出至理科试验</w:t>
      </w:r>
      <w:proofErr w:type="gramStart"/>
      <w:r>
        <w:t>班普通</w:t>
      </w:r>
      <w:proofErr w:type="gramEnd"/>
      <w:r>
        <w:t>班继续培养。</w:t>
      </w:r>
    </w:p>
    <w:p w:rsidR="00A90E52" w:rsidRDefault="00A90E52" w:rsidP="00A90E52">
      <w:pPr>
        <w:pStyle w:val="a5"/>
        <w:widowControl/>
        <w:spacing w:beforeAutospacing="0" w:afterAutospacing="0"/>
      </w:pPr>
    </w:p>
    <w:p w:rsidR="00A90E52" w:rsidRDefault="00A90E52" w:rsidP="00A90E52">
      <w:pPr>
        <w:pStyle w:val="a5"/>
        <w:widowControl/>
        <w:numPr>
          <w:ilvl w:val="0"/>
          <w:numId w:val="2"/>
        </w:numPr>
        <w:spacing w:beforeAutospacing="0" w:afterAutospacing="0"/>
      </w:pPr>
      <w:r>
        <w:rPr>
          <w:rStyle w:val="a6"/>
        </w:rPr>
        <w:t>常见问题</w:t>
      </w:r>
    </w:p>
    <w:p w:rsidR="00A90E52" w:rsidRDefault="00A90E52" w:rsidP="00A90E52">
      <w:pPr>
        <w:widowControl/>
        <w:jc w:val="left"/>
      </w:pPr>
    </w:p>
    <w:p w:rsidR="00A90E52" w:rsidRDefault="00A90E52" w:rsidP="00A90E52">
      <w:pPr>
        <w:pStyle w:val="a5"/>
        <w:widowControl/>
        <w:spacing w:beforeAutospacing="0" w:afterAutospacing="0"/>
      </w:pPr>
      <w:r>
        <w:rPr>
          <w:rStyle w:val="a6"/>
        </w:rPr>
        <w:t>Q1</w:t>
      </w:r>
      <w:r>
        <w:rPr>
          <w:rStyle w:val="a6"/>
          <w:rFonts w:hint="eastAsia"/>
        </w:rPr>
        <w:t>：</w:t>
      </w:r>
      <w:r>
        <w:t>数学拔尖班一共招收多少人？报名资格？什么时候报名？什么时候考试？什么时候面试？</w:t>
      </w:r>
    </w:p>
    <w:p w:rsidR="00A90E52" w:rsidRDefault="00A90E52" w:rsidP="00A90E52">
      <w:pPr>
        <w:pStyle w:val="a5"/>
        <w:widowControl/>
        <w:spacing w:beforeAutospacing="0" w:afterAutospacing="0"/>
      </w:pPr>
      <w:r>
        <w:rPr>
          <w:rStyle w:val="a6"/>
        </w:rPr>
        <w:t>答</w:t>
      </w:r>
      <w:r>
        <w:rPr>
          <w:rStyle w:val="a6"/>
          <w:rFonts w:hint="eastAsia"/>
        </w:rPr>
        <w:t>：</w:t>
      </w:r>
      <w:r>
        <w:t>请参见教务处网页通知。</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Q2</w:t>
      </w:r>
      <w:r>
        <w:rPr>
          <w:rStyle w:val="a6"/>
          <w:rFonts w:hint="eastAsia"/>
        </w:rPr>
        <w:t>：</w:t>
      </w:r>
      <w:r>
        <w:t>进入数学拔尖班后，我还在原来的学院吗？我还学习原来的专业吗？</w:t>
      </w:r>
    </w:p>
    <w:p w:rsidR="00A90E52" w:rsidRDefault="00A90E52" w:rsidP="00A90E52">
      <w:pPr>
        <w:pStyle w:val="a5"/>
        <w:widowControl/>
        <w:spacing w:beforeAutospacing="0" w:afterAutospacing="0"/>
      </w:pPr>
      <w:r>
        <w:rPr>
          <w:rStyle w:val="a6"/>
        </w:rPr>
        <w:t>答</w:t>
      </w:r>
      <w:r>
        <w:rPr>
          <w:rStyle w:val="a6"/>
          <w:rFonts w:hint="eastAsia"/>
        </w:rPr>
        <w:t>：</w:t>
      </w:r>
      <w:r>
        <w:t>如果成功入选数学拔尖班，学生将离开原来学院</w:t>
      </w:r>
      <w:r>
        <w:t>/</w:t>
      </w:r>
      <w:r>
        <w:t>大类</w:t>
      </w:r>
      <w:r>
        <w:t>/</w:t>
      </w:r>
      <w:r>
        <w:t>专业，进入数学学院。之后学生的专业可以是数学与应用数学或者是信息与计算科学，具体将根据修读的主干课程来确定。</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Q3</w:t>
      </w:r>
      <w:r>
        <w:rPr>
          <w:rStyle w:val="a6"/>
          <w:rFonts w:hint="eastAsia"/>
        </w:rPr>
        <w:t>：</w:t>
      </w:r>
      <w:r>
        <w:t>数学拔尖班与理科试验班、数学</w:t>
      </w:r>
      <w:proofErr w:type="gramStart"/>
      <w:r>
        <w:t>强基班在</w:t>
      </w:r>
      <w:proofErr w:type="gramEnd"/>
      <w:r>
        <w:t>培养方面有什么区别？</w:t>
      </w:r>
    </w:p>
    <w:p w:rsidR="00A90E52" w:rsidRDefault="00A90E52" w:rsidP="00A90E52">
      <w:pPr>
        <w:pStyle w:val="a5"/>
        <w:widowControl/>
        <w:spacing w:beforeAutospacing="0" w:afterAutospacing="0"/>
      </w:pPr>
      <w:r>
        <w:rPr>
          <w:rStyle w:val="a6"/>
        </w:rPr>
        <w:t>答</w:t>
      </w:r>
      <w:r>
        <w:rPr>
          <w:rStyle w:val="a6"/>
          <w:rFonts w:hint="eastAsia"/>
        </w:rPr>
        <w:t>：</w:t>
      </w:r>
      <w:r>
        <w:t>理科试验班是理学相关专业共同开展的大类招生、大类培养，理科试验班的同学在大一结束后进行专业分流。数学</w:t>
      </w:r>
      <w:proofErr w:type="gramStart"/>
      <w:r>
        <w:t>强基班是是</w:t>
      </w:r>
      <w:proofErr w:type="gramEnd"/>
      <w:r>
        <w:t>教育部开展的招生改革工作，</w:t>
      </w:r>
      <w:r>
        <w:lastRenderedPageBreak/>
        <w:t>主要是为了选拔培养有志于服务国家重大战略需求且综合素质优秀或基础学科拔尖的学生。我校的数学强</w:t>
      </w:r>
      <w:proofErr w:type="gramStart"/>
      <w:r>
        <w:t>基实施</w:t>
      </w:r>
      <w:proofErr w:type="gramEnd"/>
      <w:r>
        <w:t>的是</w:t>
      </w:r>
      <w:r>
        <w:t>“</w:t>
      </w:r>
      <w:r>
        <w:t>强基础、重交叉</w:t>
      </w:r>
      <w:r>
        <w:t>”</w:t>
      </w:r>
      <w:r>
        <w:t>的培养思路，聚焦数学以及计算机科学交叉领域的校内本</w:t>
      </w:r>
      <w:proofErr w:type="gramStart"/>
      <w:r>
        <w:t>研</w:t>
      </w:r>
      <w:proofErr w:type="gramEnd"/>
      <w:r>
        <w:t>一体化人才培养。而我校的数学拔尖班实行的是进校二次选拔，目标是培养数学、系统科学等相关领域的拔尖人才，获得保</w:t>
      </w:r>
      <w:proofErr w:type="gramStart"/>
      <w:r>
        <w:t>研</w:t>
      </w:r>
      <w:proofErr w:type="gramEnd"/>
      <w:r>
        <w:t>资格的同学可以选择在本校或者外校读研攻博。</w:t>
      </w:r>
      <w:r>
        <w:t>2023</w:t>
      </w:r>
      <w:r>
        <w:t>级开始，</w:t>
      </w:r>
      <w:r>
        <w:t xml:space="preserve"> </w:t>
      </w:r>
      <w:r>
        <w:t>数学拔尖班和数学</w:t>
      </w:r>
      <w:proofErr w:type="gramStart"/>
      <w:r>
        <w:t>强基班的</w:t>
      </w:r>
      <w:proofErr w:type="gramEnd"/>
      <w:r>
        <w:t>同学，均是根据自己修读的主干课程，在数学与应用数学、信息与计算科学两个专业中确定一个专业进行毕业。此外，拔尖班同学将拥有</w:t>
      </w:r>
      <w:r>
        <w:t>100%</w:t>
      </w:r>
      <w:r>
        <w:t>修读荣誉课程、</w:t>
      </w:r>
      <w:r>
        <w:t>100%</w:t>
      </w:r>
      <w:r>
        <w:t>配备学业导师、科研导师和生活导师、</w:t>
      </w:r>
      <w:r>
        <w:t>100%</w:t>
      </w:r>
      <w:r>
        <w:t>申报</w:t>
      </w:r>
      <w:proofErr w:type="gramStart"/>
      <w:r>
        <w:t>研</w:t>
      </w:r>
      <w:proofErr w:type="gramEnd"/>
      <w:r>
        <w:t>学计划、</w:t>
      </w:r>
      <w:r>
        <w:t>100%</w:t>
      </w:r>
      <w:r>
        <w:t>参加学科竞赛、</w:t>
      </w:r>
      <w:r>
        <w:t>100%</w:t>
      </w:r>
      <w:r>
        <w:t>参与国际交流的特色培养方式。</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Q4</w:t>
      </w:r>
      <w:r>
        <w:rPr>
          <w:rStyle w:val="a6"/>
          <w:rFonts w:hint="eastAsia"/>
        </w:rPr>
        <w:t>：</w:t>
      </w:r>
      <w:r>
        <w:t>数学拔尖班同学保</w:t>
      </w:r>
      <w:proofErr w:type="gramStart"/>
      <w:r>
        <w:t>研</w:t>
      </w:r>
      <w:proofErr w:type="gramEnd"/>
      <w:r>
        <w:t>率会比理科试验班高吗？具体高多少？比例是多少？</w:t>
      </w:r>
    </w:p>
    <w:p w:rsidR="00A90E52" w:rsidRDefault="00A90E52" w:rsidP="00A90E52">
      <w:pPr>
        <w:pStyle w:val="a5"/>
        <w:widowControl/>
        <w:spacing w:beforeAutospacing="0" w:afterAutospacing="0"/>
      </w:pPr>
      <w:r>
        <w:rPr>
          <w:rStyle w:val="a6"/>
        </w:rPr>
        <w:t>答</w:t>
      </w:r>
      <w:r>
        <w:rPr>
          <w:rStyle w:val="a6"/>
          <w:rFonts w:hint="eastAsia"/>
        </w:rPr>
        <w:t>：</w:t>
      </w:r>
      <w:r>
        <w:t>拔尖班保</w:t>
      </w:r>
      <w:proofErr w:type="gramStart"/>
      <w:r>
        <w:t>研</w:t>
      </w:r>
      <w:proofErr w:type="gramEnd"/>
      <w:r>
        <w:t>率比理科试验班高，但每年实际的保</w:t>
      </w:r>
      <w:proofErr w:type="gramStart"/>
      <w:r>
        <w:t>研</w:t>
      </w:r>
      <w:proofErr w:type="gramEnd"/>
      <w:r>
        <w:t>率和当年的保</w:t>
      </w:r>
      <w:proofErr w:type="gramStart"/>
      <w:r>
        <w:t>研</w:t>
      </w:r>
      <w:proofErr w:type="gramEnd"/>
      <w:r>
        <w:t>指标有关，该指标由教育部统一分配，我们无法提前知道，所以这里说的保</w:t>
      </w:r>
      <w:proofErr w:type="gramStart"/>
      <w:r>
        <w:t>研</w:t>
      </w:r>
      <w:proofErr w:type="gramEnd"/>
      <w:r>
        <w:t>率仅供参考。我们的目标是让有意愿、有能力的拔尖班同学都有机会升学深造。</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Q5</w:t>
      </w:r>
      <w:r>
        <w:rPr>
          <w:rStyle w:val="a6"/>
          <w:rFonts w:hint="eastAsia"/>
        </w:rPr>
        <w:t>：</w:t>
      </w:r>
      <w:r>
        <w:t>数学拔尖班同学保</w:t>
      </w:r>
      <w:proofErr w:type="gramStart"/>
      <w:r>
        <w:t>研</w:t>
      </w:r>
      <w:proofErr w:type="gramEnd"/>
      <w:r>
        <w:t>的专业方向有哪些？保</w:t>
      </w:r>
      <w:proofErr w:type="gramStart"/>
      <w:r>
        <w:t>研</w:t>
      </w:r>
      <w:proofErr w:type="gramEnd"/>
      <w:r>
        <w:t>的专业是不是仅限于数学方向和系统科学方向？</w:t>
      </w:r>
    </w:p>
    <w:p w:rsidR="00A90E52" w:rsidRDefault="00A90E52" w:rsidP="00A90E52">
      <w:pPr>
        <w:pStyle w:val="a5"/>
        <w:widowControl/>
        <w:spacing w:beforeAutospacing="0" w:afterAutospacing="0"/>
      </w:pPr>
      <w:r>
        <w:rPr>
          <w:rStyle w:val="a6"/>
        </w:rPr>
        <w:t>答</w:t>
      </w:r>
      <w:r>
        <w:rPr>
          <w:rStyle w:val="a6"/>
          <w:rFonts w:hint="eastAsia"/>
        </w:rPr>
        <w:t>：</w:t>
      </w:r>
      <w:r>
        <w:t>与理科试验班一样，拔尖班获得保</w:t>
      </w:r>
      <w:proofErr w:type="gramStart"/>
      <w:r>
        <w:t>研</w:t>
      </w:r>
      <w:proofErr w:type="gramEnd"/>
      <w:r>
        <w:t>资格的学生可以自行联系高校和学院，只要对方愿意接受即可。以我们学校为例，拔尖班同学保</w:t>
      </w:r>
      <w:proofErr w:type="gramStart"/>
      <w:r>
        <w:t>研</w:t>
      </w:r>
      <w:proofErr w:type="gramEnd"/>
      <w:r>
        <w:t>可以选择数学学院的相关专业方向（数学、系统科学、统计学），也可以跨学院去其他学院。不管是本学院、本校跨学院，还是跨学校跨专业，一般都需要参加接收方组织的保</w:t>
      </w:r>
      <w:proofErr w:type="gramStart"/>
      <w:r>
        <w:t>研</w:t>
      </w:r>
      <w:proofErr w:type="gramEnd"/>
      <w:r>
        <w:t>选拔考核。我们拔尖班的培养过程特色之一就是强调科学研究，所以拔尖班的同学在参加保</w:t>
      </w:r>
      <w:proofErr w:type="gramStart"/>
      <w:r>
        <w:t>研</w:t>
      </w:r>
      <w:proofErr w:type="gramEnd"/>
      <w:r>
        <w:t>考核时，具有一定的优势。</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Q6</w:t>
      </w:r>
      <w:r>
        <w:rPr>
          <w:rStyle w:val="a6"/>
          <w:rFonts w:hint="eastAsia"/>
        </w:rPr>
        <w:t>：</w:t>
      </w:r>
      <w:r>
        <w:t>我进拔尖班后如果感觉不合适，还能退出吗？还能转专业吗？</w:t>
      </w:r>
    </w:p>
    <w:p w:rsidR="00A90E52" w:rsidRDefault="00A90E52" w:rsidP="00A90E52">
      <w:pPr>
        <w:pStyle w:val="a5"/>
        <w:widowControl/>
        <w:spacing w:beforeAutospacing="0" w:afterAutospacing="0"/>
      </w:pPr>
      <w:r>
        <w:rPr>
          <w:rStyle w:val="a6"/>
        </w:rPr>
        <w:t>答</w:t>
      </w:r>
      <w:r>
        <w:rPr>
          <w:rStyle w:val="a6"/>
          <w:rFonts w:hint="eastAsia"/>
        </w:rPr>
        <w:t>：</w:t>
      </w:r>
      <w:r>
        <w:t>从机制上，学校允许拔尖班同学在大一结束时申请参加转专业考试，但从学习的连续性上，我们不建议同学们这么做，希望大家在报名数学拔尖班时确实是出于对数学的兴趣而来。进入拔尖</w:t>
      </w:r>
      <w:proofErr w:type="gramStart"/>
      <w:r>
        <w:t>班确实</w:t>
      </w:r>
      <w:proofErr w:type="gramEnd"/>
      <w:r>
        <w:t>需要退出的，可以退出到理科试验班。进入拔尖</w:t>
      </w:r>
      <w:proofErr w:type="gramStart"/>
      <w:r>
        <w:t>班确实</w:t>
      </w:r>
      <w:proofErr w:type="gramEnd"/>
      <w:r>
        <w:t>需要转专业的，可以先退出到理科试验班，然后在理科试验</w:t>
      </w:r>
      <w:proofErr w:type="gramStart"/>
      <w:r>
        <w:t>班申请跨大类转系转专业</w:t>
      </w:r>
      <w:proofErr w:type="gramEnd"/>
      <w:r>
        <w:t>。转专业成功与否，取决于个人的转专业考核成绩。如果转专业不成功，则继续留在理科试验班（备注：如果是大一结束后退出，专业由学生自主在数学与应用数学、信息与计算科学选择一个专业进行修读；如果是后续年级退出，按照原先在</w:t>
      </w:r>
      <w:proofErr w:type="gramStart"/>
      <w:r>
        <w:t>数学尖班的</w:t>
      </w:r>
      <w:proofErr w:type="gramEnd"/>
      <w:r>
        <w:t>专业进行修读）。</w:t>
      </w:r>
    </w:p>
    <w:p w:rsidR="00A90E52" w:rsidRDefault="00A90E52" w:rsidP="00A90E52"/>
    <w:p w:rsidR="00543C28" w:rsidRPr="00A90E52" w:rsidRDefault="00E36460"/>
    <w:sectPr w:rsidR="00543C28" w:rsidRPr="00A90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60" w:rsidRDefault="00E36460" w:rsidP="00A90E52">
      <w:r>
        <w:separator/>
      </w:r>
    </w:p>
  </w:endnote>
  <w:endnote w:type="continuationSeparator" w:id="0">
    <w:p w:rsidR="00E36460" w:rsidRDefault="00E36460" w:rsidP="00A9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60" w:rsidRDefault="00E36460" w:rsidP="00A90E52">
      <w:r>
        <w:separator/>
      </w:r>
    </w:p>
  </w:footnote>
  <w:footnote w:type="continuationSeparator" w:id="0">
    <w:p w:rsidR="00E36460" w:rsidRDefault="00E36460" w:rsidP="00A90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521F1"/>
    <w:multiLevelType w:val="singleLevel"/>
    <w:tmpl w:val="A1E521F1"/>
    <w:lvl w:ilvl="0">
      <w:start w:val="1"/>
      <w:numFmt w:val="decimal"/>
      <w:lvlText w:val="(%1)"/>
      <w:lvlJc w:val="left"/>
      <w:pPr>
        <w:tabs>
          <w:tab w:val="left" w:pos="312"/>
        </w:tabs>
      </w:pPr>
    </w:lvl>
  </w:abstractNum>
  <w:abstractNum w:abstractNumId="1">
    <w:nsid w:val="ACE7A3BA"/>
    <w:multiLevelType w:val="singleLevel"/>
    <w:tmpl w:val="ACE7A3BA"/>
    <w:lvl w:ilvl="0">
      <w:start w:val="3"/>
      <w:numFmt w:val="chineseCounting"/>
      <w:suff w:val="space"/>
      <w:lvlText w:val="%1、"/>
      <w:lvlJc w:val="left"/>
      <w:rPr>
        <w:rFonts w:hint="eastAsia"/>
      </w:rPr>
    </w:lvl>
  </w:abstractNum>
  <w:abstractNum w:abstractNumId="2">
    <w:nsid w:val="B48D8E39"/>
    <w:multiLevelType w:val="singleLevel"/>
    <w:tmpl w:val="B48D8E39"/>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3A"/>
    <w:rsid w:val="00052108"/>
    <w:rsid w:val="00272E22"/>
    <w:rsid w:val="0030642D"/>
    <w:rsid w:val="003921F2"/>
    <w:rsid w:val="0044688C"/>
    <w:rsid w:val="00475344"/>
    <w:rsid w:val="00661C49"/>
    <w:rsid w:val="00903D3A"/>
    <w:rsid w:val="00982E94"/>
    <w:rsid w:val="00A3462E"/>
    <w:rsid w:val="00A73F9C"/>
    <w:rsid w:val="00A90E52"/>
    <w:rsid w:val="00A94AF6"/>
    <w:rsid w:val="00AB2597"/>
    <w:rsid w:val="00B6636D"/>
    <w:rsid w:val="00CF4AA0"/>
    <w:rsid w:val="00E36460"/>
    <w:rsid w:val="00FA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5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E52"/>
    <w:rPr>
      <w:sz w:val="18"/>
      <w:szCs w:val="18"/>
    </w:rPr>
  </w:style>
  <w:style w:type="paragraph" w:styleId="a4">
    <w:name w:val="footer"/>
    <w:basedOn w:val="a"/>
    <w:link w:val="Char0"/>
    <w:uiPriority w:val="99"/>
    <w:unhideWhenUsed/>
    <w:rsid w:val="00A90E52"/>
    <w:pPr>
      <w:tabs>
        <w:tab w:val="center" w:pos="4153"/>
        <w:tab w:val="right" w:pos="8306"/>
      </w:tabs>
      <w:snapToGrid w:val="0"/>
      <w:jc w:val="left"/>
    </w:pPr>
    <w:rPr>
      <w:sz w:val="18"/>
      <w:szCs w:val="18"/>
    </w:rPr>
  </w:style>
  <w:style w:type="character" w:customStyle="1" w:styleId="Char0">
    <w:name w:val="页脚 Char"/>
    <w:basedOn w:val="a0"/>
    <w:link w:val="a4"/>
    <w:uiPriority w:val="99"/>
    <w:rsid w:val="00A90E52"/>
    <w:rPr>
      <w:sz w:val="18"/>
      <w:szCs w:val="18"/>
    </w:rPr>
  </w:style>
  <w:style w:type="paragraph" w:styleId="a5">
    <w:name w:val="Normal (Web)"/>
    <w:basedOn w:val="a"/>
    <w:rsid w:val="00A90E52"/>
    <w:pPr>
      <w:spacing w:beforeAutospacing="1" w:afterAutospacing="1"/>
      <w:jc w:val="left"/>
    </w:pPr>
    <w:rPr>
      <w:rFonts w:cs="Times New Roman"/>
      <w:kern w:val="0"/>
      <w:sz w:val="24"/>
    </w:rPr>
  </w:style>
  <w:style w:type="character" w:styleId="a6">
    <w:name w:val="Strong"/>
    <w:basedOn w:val="a0"/>
    <w:qFormat/>
    <w:rsid w:val="00A90E5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5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E52"/>
    <w:rPr>
      <w:sz w:val="18"/>
      <w:szCs w:val="18"/>
    </w:rPr>
  </w:style>
  <w:style w:type="paragraph" w:styleId="a4">
    <w:name w:val="footer"/>
    <w:basedOn w:val="a"/>
    <w:link w:val="Char0"/>
    <w:uiPriority w:val="99"/>
    <w:unhideWhenUsed/>
    <w:rsid w:val="00A90E52"/>
    <w:pPr>
      <w:tabs>
        <w:tab w:val="center" w:pos="4153"/>
        <w:tab w:val="right" w:pos="8306"/>
      </w:tabs>
      <w:snapToGrid w:val="0"/>
      <w:jc w:val="left"/>
    </w:pPr>
    <w:rPr>
      <w:sz w:val="18"/>
      <w:szCs w:val="18"/>
    </w:rPr>
  </w:style>
  <w:style w:type="character" w:customStyle="1" w:styleId="Char0">
    <w:name w:val="页脚 Char"/>
    <w:basedOn w:val="a0"/>
    <w:link w:val="a4"/>
    <w:uiPriority w:val="99"/>
    <w:rsid w:val="00A90E52"/>
    <w:rPr>
      <w:sz w:val="18"/>
      <w:szCs w:val="18"/>
    </w:rPr>
  </w:style>
  <w:style w:type="paragraph" w:styleId="a5">
    <w:name w:val="Normal (Web)"/>
    <w:basedOn w:val="a"/>
    <w:rsid w:val="00A90E52"/>
    <w:pPr>
      <w:spacing w:beforeAutospacing="1" w:afterAutospacing="1"/>
      <w:jc w:val="left"/>
    </w:pPr>
    <w:rPr>
      <w:rFonts w:cs="Times New Roman"/>
      <w:kern w:val="0"/>
      <w:sz w:val="24"/>
    </w:rPr>
  </w:style>
  <w:style w:type="character" w:styleId="a6">
    <w:name w:val="Strong"/>
    <w:basedOn w:val="a0"/>
    <w:qFormat/>
    <w:rsid w:val="00A90E5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宛敏</dc:creator>
  <cp:keywords/>
  <dc:description/>
  <cp:lastModifiedBy>宛敏</cp:lastModifiedBy>
  <cp:revision>8</cp:revision>
  <dcterms:created xsi:type="dcterms:W3CDTF">2024-06-26T01:26:00Z</dcterms:created>
  <dcterms:modified xsi:type="dcterms:W3CDTF">2024-06-29T05:03:00Z</dcterms:modified>
</cp:coreProperties>
</file>