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91" w:rsidRPr="000B2294" w:rsidRDefault="00AD1B91" w:rsidP="00AD1B91">
      <w:pPr>
        <w:widowControl/>
        <w:spacing w:line="360" w:lineRule="exact"/>
        <w:ind w:left="422" w:right="441" w:hanging="422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宋体" w:hint="eastAsia"/>
          <w:b/>
          <w:color w:val="000000"/>
          <w:kern w:val="0"/>
          <w:sz w:val="24"/>
          <w:szCs w:val="21"/>
        </w:rPr>
        <w:t>东南大学第三届大学生生物医学工程创新设计竞赛章程</w:t>
      </w:r>
    </w:p>
    <w:p w:rsidR="00AD1B91" w:rsidRPr="000B2294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一、竞赛目的</w:t>
      </w:r>
    </w:p>
    <w:p w:rsidR="00AD1B91" w:rsidRPr="000B2294" w:rsidRDefault="00AD1B91" w:rsidP="00364BEA">
      <w:pPr>
        <w:widowControl/>
        <w:spacing w:afterLines="50"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为了推动我国生物医学工程学科的发展，促进生物医疗电子技术的进步，加快我国高校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相关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专业的建设步伐，培养高水平的优秀专业人才，为201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7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年第</w:t>
      </w:r>
      <w:r w:rsidR="004210B9"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三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届全国大学生生物医学工程创新设计竞赛选拔参赛队。</w:t>
      </w:r>
    </w:p>
    <w:p w:rsidR="00AD1B91" w:rsidRPr="000B2294" w:rsidRDefault="00AD1B91" w:rsidP="00AD1B91">
      <w:pPr>
        <w:widowControl/>
        <w:tabs>
          <w:tab w:val="center" w:pos="4153"/>
        </w:tabs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二、参赛对象</w:t>
      </w: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ab/>
      </w:r>
    </w:p>
    <w:p w:rsidR="00AD1B91" w:rsidRPr="000B2294" w:rsidRDefault="00AD1B91" w:rsidP="00364BEA">
      <w:pPr>
        <w:widowControl/>
        <w:spacing w:afterLines="50"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全校各院（系）正式注册的全日制在校本科生且在竞赛终审时未发生学历改变的，均可组队参赛。每队由1－3名学生（可有1名指导教师）组成。欢迎学生跨院系组队参加。</w:t>
      </w:r>
    </w:p>
    <w:p w:rsidR="00AD1B91" w:rsidRPr="000B2294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三、竞赛内容</w:t>
      </w:r>
    </w:p>
    <w:p w:rsidR="00AD1B91" w:rsidRPr="000B2294" w:rsidRDefault="00AD1B91" w:rsidP="00AD1B91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竞赛分为命题项目组和自选项目组。</w:t>
      </w:r>
    </w:p>
    <w:p w:rsidR="00AD1B91" w:rsidRPr="000B2294" w:rsidRDefault="00AD1B91" w:rsidP="00AD1B91">
      <w:pPr>
        <w:widowControl/>
        <w:spacing w:line="360" w:lineRule="exact"/>
        <w:ind w:firstLineChars="118" w:firstLine="283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（1）命题项目组：</w:t>
      </w:r>
    </w:p>
    <w:p w:rsidR="004210B9" w:rsidRPr="000B2294" w:rsidRDefault="004210B9" w:rsidP="004210B9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命题式，限本科生参加</w:t>
      </w:r>
    </w:p>
    <w:p w:rsidR="007531DE" w:rsidRDefault="007531DE" w:rsidP="007531DE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7531DE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医学电子类：</w:t>
      </w:r>
    </w:p>
    <w:p w:rsidR="007531DE" w:rsidRPr="007531DE" w:rsidRDefault="007531DE" w:rsidP="007531DE">
      <w:pPr>
        <w:widowControl/>
        <w:spacing w:line="360" w:lineRule="exact"/>
        <w:ind w:left="1200"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7531DE">
        <w:rPr>
          <w:rFonts w:ascii="仿宋" w:eastAsia="仿宋" w:hAnsi="仿宋" w:cs="宋体"/>
          <w:color w:val="000000"/>
          <w:kern w:val="0"/>
          <w:sz w:val="24"/>
          <w:szCs w:val="21"/>
        </w:rPr>
        <w:t>1</w:t>
      </w:r>
      <w:r w:rsidRPr="007531DE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、压电式无线电子听诊器（附件一）</w:t>
      </w:r>
    </w:p>
    <w:p w:rsidR="007531DE" w:rsidRPr="007531DE" w:rsidRDefault="00364BEA" w:rsidP="007531DE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>
        <w:rPr>
          <w:rFonts w:ascii="Calibri" w:eastAsia="仿宋" w:hAnsi="Calibri" w:cs="Calibri" w:hint="eastAsia"/>
          <w:color w:val="000000"/>
          <w:kern w:val="0"/>
          <w:sz w:val="24"/>
          <w:szCs w:val="21"/>
        </w:rPr>
        <w:t xml:space="preserve">         </w:t>
      </w:r>
      <w:r w:rsidR="007531DE">
        <w:rPr>
          <w:rFonts w:ascii="仿宋" w:eastAsia="仿宋" w:hAnsi="仿宋" w:cs="宋体"/>
          <w:color w:val="000000"/>
          <w:kern w:val="0"/>
          <w:sz w:val="24"/>
          <w:szCs w:val="21"/>
        </w:rPr>
        <w:tab/>
      </w:r>
      <w:r w:rsidR="007531DE" w:rsidRPr="007531DE">
        <w:rPr>
          <w:rFonts w:ascii="仿宋" w:eastAsia="仿宋" w:hAnsi="仿宋" w:cs="宋体"/>
          <w:color w:val="000000"/>
          <w:kern w:val="0"/>
          <w:sz w:val="24"/>
          <w:szCs w:val="21"/>
        </w:rPr>
        <w:t>2</w:t>
      </w:r>
      <w:r w:rsidR="007531DE" w:rsidRPr="007531DE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、交流恒流源与生物阻抗信息测量（附件二）</w:t>
      </w:r>
    </w:p>
    <w:p w:rsidR="007531DE" w:rsidRPr="007531DE" w:rsidRDefault="00364BEA" w:rsidP="007531DE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>
        <w:rPr>
          <w:rFonts w:ascii="Calibri" w:eastAsia="仿宋" w:hAnsi="Calibri" w:cs="Calibri" w:hint="eastAsia"/>
          <w:color w:val="000000"/>
          <w:kern w:val="0"/>
          <w:sz w:val="24"/>
          <w:szCs w:val="21"/>
        </w:rPr>
        <w:t xml:space="preserve">         </w:t>
      </w:r>
      <w:r w:rsidR="007531DE">
        <w:rPr>
          <w:rFonts w:ascii="Calibri" w:eastAsia="仿宋" w:hAnsi="Calibri" w:cs="Calibri"/>
          <w:color w:val="000000"/>
          <w:kern w:val="0"/>
          <w:sz w:val="24"/>
          <w:szCs w:val="21"/>
        </w:rPr>
        <w:tab/>
      </w:r>
      <w:r w:rsidR="007531DE" w:rsidRPr="007531DE">
        <w:rPr>
          <w:rFonts w:ascii="仿宋" w:eastAsia="仿宋" w:hAnsi="仿宋" w:cs="宋体"/>
          <w:color w:val="000000"/>
          <w:kern w:val="0"/>
          <w:sz w:val="24"/>
          <w:szCs w:val="21"/>
        </w:rPr>
        <w:t>3</w:t>
      </w:r>
      <w:r w:rsidR="007531DE" w:rsidRPr="007531DE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、心电模拟遥测系统（附件二）</w:t>
      </w:r>
    </w:p>
    <w:p w:rsidR="007531DE" w:rsidRPr="007531DE" w:rsidRDefault="007531DE" w:rsidP="007531DE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7531DE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医学材料类：人体大段骨缺损修复体设计与制备</w:t>
      </w:r>
    </w:p>
    <w:p w:rsidR="007531DE" w:rsidRDefault="007531DE" w:rsidP="007531DE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7531DE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生物力学和康复工程类：可穿戴式行走障碍监（检）测装置</w:t>
      </w:r>
    </w:p>
    <w:p w:rsidR="007531DE" w:rsidRDefault="007531DE" w:rsidP="007531DE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</w:p>
    <w:p w:rsidR="004210B9" w:rsidRPr="000B2294" w:rsidRDefault="004210B9" w:rsidP="007531DE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所有命题作品都需在作品说明中陈述以下内容：</w:t>
      </w:r>
    </w:p>
    <w:p w:rsidR="004210B9" w:rsidRPr="000B2294" w:rsidRDefault="004210B9" w:rsidP="004210B9">
      <w:pPr>
        <w:widowControl/>
        <w:numPr>
          <w:ilvl w:val="0"/>
          <w:numId w:val="1"/>
        </w:numPr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作品所依据的技术原理；</w:t>
      </w:r>
    </w:p>
    <w:p w:rsidR="004210B9" w:rsidRPr="000B2294" w:rsidRDefault="004210B9" w:rsidP="004210B9">
      <w:pPr>
        <w:widowControl/>
        <w:numPr>
          <w:ilvl w:val="0"/>
          <w:numId w:val="1"/>
        </w:numPr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技术实现的思路、方法与结果；</w:t>
      </w:r>
    </w:p>
    <w:p w:rsidR="004210B9" w:rsidRPr="000B2294" w:rsidRDefault="004210B9" w:rsidP="004210B9">
      <w:pPr>
        <w:widowControl/>
        <w:numPr>
          <w:ilvl w:val="0"/>
          <w:numId w:val="1"/>
        </w:numPr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实现的技术指标和测试的方案及结果；</w:t>
      </w:r>
    </w:p>
    <w:p w:rsidR="004210B9" w:rsidRPr="000B2294" w:rsidRDefault="004210B9" w:rsidP="004210B9">
      <w:pPr>
        <w:widowControl/>
        <w:numPr>
          <w:ilvl w:val="0"/>
          <w:numId w:val="1"/>
        </w:numPr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所形成装置的有效性、安全性等的技术评估；</w:t>
      </w:r>
    </w:p>
    <w:p w:rsidR="004210B9" w:rsidRPr="000B2294" w:rsidRDefault="004210B9" w:rsidP="004210B9">
      <w:pPr>
        <w:widowControl/>
        <w:numPr>
          <w:ilvl w:val="0"/>
          <w:numId w:val="1"/>
        </w:numPr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技术设计合理性、新颖性、巧妙性的描述与评价；</w:t>
      </w:r>
    </w:p>
    <w:p w:rsidR="004210B9" w:rsidRPr="000B2294" w:rsidRDefault="004210B9" w:rsidP="004210B9">
      <w:pPr>
        <w:widowControl/>
        <w:numPr>
          <w:ilvl w:val="0"/>
          <w:numId w:val="1"/>
        </w:numPr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使用说明文件的宜读性、界面友好性的体现程度；</w:t>
      </w:r>
    </w:p>
    <w:p w:rsidR="004210B9" w:rsidRPr="000B2294" w:rsidRDefault="004210B9" w:rsidP="004210B9">
      <w:pPr>
        <w:widowControl/>
        <w:numPr>
          <w:ilvl w:val="0"/>
          <w:numId w:val="1"/>
        </w:numPr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目标产品市场前景预测的可信性说明。</w:t>
      </w:r>
    </w:p>
    <w:p w:rsidR="00AD1B91" w:rsidRPr="000B2294" w:rsidRDefault="00AD1B91" w:rsidP="00364BEA">
      <w:pPr>
        <w:widowControl/>
        <w:spacing w:afterLines="50"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（2）自选项目组：</w:t>
      </w:r>
      <w:r w:rsidR="004210B9"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自选主题，报名时需提交参赛作品的原创性或创意性说明。作品选题应该属于生物医学工程相关领域，如医学诊断与治疗仪器、移动治疗、可穿戴健康设备、医学信号及图像处理、康复机器人、生物医学材料、靶向定位、分子影像技术、生物力学等。</w:t>
      </w:r>
    </w:p>
    <w:p w:rsidR="004210B9" w:rsidRPr="000B2294" w:rsidRDefault="00AD1B91" w:rsidP="00AD1B91">
      <w:pPr>
        <w:widowControl/>
        <w:spacing w:line="360" w:lineRule="exact"/>
        <w:ind w:firstLineChars="118" w:firstLine="284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四、</w:t>
      </w:r>
      <w:r w:rsidRPr="000B2294">
        <w:rPr>
          <w:rFonts w:ascii="仿宋" w:eastAsia="仿宋" w:hAnsi="仿宋" w:cs="宋体" w:hint="eastAsia"/>
          <w:b/>
          <w:color w:val="000000"/>
          <w:kern w:val="0"/>
          <w:sz w:val="24"/>
          <w:szCs w:val="21"/>
        </w:rPr>
        <w:t>参赛作品要求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：</w:t>
      </w:r>
    </w:p>
    <w:p w:rsidR="004210B9" w:rsidRPr="000B2294" w:rsidRDefault="004210B9" w:rsidP="00364BEA">
      <w:pPr>
        <w:widowControl/>
        <w:spacing w:afterLines="50"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总体上具有原创性或创意性，由参赛团队独立完成，最终提交设计报告、作品技术指标和功能展示三个文件，同时提交所在高校及科研院所的推荐参赛表。</w:t>
      </w:r>
    </w:p>
    <w:p w:rsidR="004210B9" w:rsidRPr="000B2294" w:rsidRDefault="004210B9" w:rsidP="004210B9">
      <w:pPr>
        <w:widowControl/>
        <w:spacing w:line="360" w:lineRule="exact"/>
        <w:ind w:firstLineChars="118" w:firstLine="283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（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1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）命题项目组：需基于大赛组委会公布的题目及开发平台要求设计作品。最终作品应包括自行设计制作的软硬件作品实物、设计报告和相关视频。参加竞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lastRenderedPageBreak/>
        <w:t>赛的队伍，提交预赛作品时，即代表同意将预赛报告和视频向公众开放；如果有保密需要，请在预赛报告首页注明，但对竞赛评审专家仍是开放的。</w:t>
      </w:r>
    </w:p>
    <w:p w:rsidR="004210B9" w:rsidRPr="000B2294" w:rsidRDefault="004210B9" w:rsidP="00364BEA">
      <w:pPr>
        <w:widowControl/>
        <w:spacing w:afterLines="50"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（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2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）自选项目组：医电类参赛队应尽可能应用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TI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公司的高性能模拟芯片、低功耗无线通信及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MCU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，嵌入式处理器，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DSP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等芯片，如精密运算放大器，高性能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ADC/DAC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、生物医电模拟前端，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MSP430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，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Tiva Cortex-M4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，蓝牙，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WIFI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，</w:t>
      </w: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Zigbee</w:t>
      </w: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等器件。</w:t>
      </w:r>
    </w:p>
    <w:p w:rsidR="00AD1B91" w:rsidRPr="000B2294" w:rsidRDefault="004210B9" w:rsidP="00364BEA">
      <w:pPr>
        <w:widowControl/>
        <w:spacing w:afterLines="50"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宋体"/>
          <w:color w:val="000000"/>
          <w:kern w:val="0"/>
          <w:sz w:val="24"/>
          <w:szCs w:val="21"/>
        </w:rPr>
        <w:t>所有参赛作品都必须具备生物医学工程学科的显著特点。最终提交的作品应包括自行设计制作的软硬件作品实物、设计报告和相关视频。参加竞赛的队伍，提交预赛作品时，即代表同意将预赛报告和视频向公众开放；如果有保密需要，请在预赛报告首页注明，但对竞赛评审专家仍是开放的。</w:t>
      </w:r>
    </w:p>
    <w:p w:rsidR="00AD1B91" w:rsidRPr="000B2294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五、校赛时间：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201</w:t>
      </w:r>
      <w:r w:rsidR="004210B9" w:rsidRPr="000B2294">
        <w:rPr>
          <w:rFonts w:ascii="仿宋" w:eastAsia="仿宋" w:hAnsi="仿宋" w:cs="仿宋_GB2312"/>
          <w:bCs/>
          <w:color w:val="000000"/>
          <w:kern w:val="0"/>
          <w:sz w:val="24"/>
          <w:szCs w:val="21"/>
        </w:rPr>
        <w:t>7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年7月1</w:t>
      </w:r>
      <w:r w:rsidR="004210B9" w:rsidRPr="000B2294">
        <w:rPr>
          <w:rFonts w:ascii="仿宋" w:eastAsia="仿宋" w:hAnsi="仿宋" w:cs="仿宋_GB2312"/>
          <w:bCs/>
          <w:color w:val="000000"/>
          <w:kern w:val="0"/>
          <w:sz w:val="24"/>
          <w:szCs w:val="21"/>
        </w:rPr>
        <w:t>0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日～201</w:t>
      </w:r>
      <w:r w:rsidR="004210B9" w:rsidRPr="000B2294">
        <w:rPr>
          <w:rFonts w:ascii="仿宋" w:eastAsia="仿宋" w:hAnsi="仿宋" w:cs="仿宋_GB2312"/>
          <w:bCs/>
          <w:color w:val="000000"/>
          <w:kern w:val="0"/>
          <w:sz w:val="24"/>
          <w:szCs w:val="21"/>
        </w:rPr>
        <w:t>7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年</w:t>
      </w:r>
      <w:r w:rsidR="007531DE">
        <w:rPr>
          <w:rFonts w:ascii="仿宋" w:eastAsia="仿宋" w:hAnsi="仿宋" w:cs="仿宋_GB2312"/>
          <w:bCs/>
          <w:color w:val="000000"/>
          <w:kern w:val="0"/>
          <w:sz w:val="24"/>
          <w:szCs w:val="21"/>
        </w:rPr>
        <w:t>10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月</w:t>
      </w:r>
      <w:r w:rsidR="00E04A29" w:rsidRPr="000B2294">
        <w:rPr>
          <w:rFonts w:ascii="仿宋" w:eastAsia="仿宋" w:hAnsi="仿宋" w:cs="仿宋_GB2312"/>
          <w:bCs/>
          <w:color w:val="000000"/>
          <w:kern w:val="0"/>
          <w:sz w:val="24"/>
          <w:szCs w:val="21"/>
        </w:rPr>
        <w:t>20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日</w:t>
      </w:r>
    </w:p>
    <w:p w:rsidR="00AD1B91" w:rsidRPr="000B2294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六、报名时间：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201</w:t>
      </w:r>
      <w:r w:rsidR="00E04A29" w:rsidRPr="000B2294">
        <w:rPr>
          <w:rFonts w:ascii="仿宋" w:eastAsia="仿宋" w:hAnsi="仿宋" w:cs="仿宋_GB2312"/>
          <w:bCs/>
          <w:color w:val="000000"/>
          <w:kern w:val="0"/>
          <w:sz w:val="24"/>
          <w:szCs w:val="21"/>
        </w:rPr>
        <w:t>7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年7月10日～</w:t>
      </w:r>
      <w:r w:rsidR="007531DE">
        <w:rPr>
          <w:rFonts w:ascii="仿宋" w:eastAsia="仿宋" w:hAnsi="仿宋" w:cs="仿宋_GB2312"/>
          <w:bCs/>
          <w:color w:val="000000"/>
          <w:kern w:val="0"/>
          <w:sz w:val="24"/>
          <w:szCs w:val="21"/>
        </w:rPr>
        <w:t>9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月</w:t>
      </w:r>
      <w:r w:rsidR="007531DE">
        <w:rPr>
          <w:rFonts w:ascii="仿宋" w:eastAsia="仿宋" w:hAnsi="仿宋" w:cs="仿宋_GB2312"/>
          <w:bCs/>
          <w:color w:val="000000"/>
          <w:kern w:val="0"/>
          <w:sz w:val="24"/>
          <w:szCs w:val="21"/>
        </w:rPr>
        <w:t>7</w:t>
      </w:r>
      <w:bookmarkStart w:id="0" w:name="_GoBack"/>
      <w:bookmarkEnd w:id="0"/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日</w:t>
      </w:r>
    </w:p>
    <w:p w:rsidR="00AD1B91" w:rsidRPr="000B2294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 xml:space="preserve">    报名时间与全国竞赛同步，请同时在校赛系统和国赛邮箱上报名</w:t>
      </w:r>
    </w:p>
    <w:p w:rsidR="00AD1B91" w:rsidRPr="000B2294" w:rsidRDefault="00AD1B91" w:rsidP="00AD1B91">
      <w:pPr>
        <w:widowControl/>
        <w:spacing w:line="360" w:lineRule="exact"/>
        <w:ind w:firstLine="468"/>
        <w:jc w:val="left"/>
        <w:outlineLvl w:val="0"/>
        <w:rPr>
          <w:rFonts w:ascii="仿宋" w:eastAsia="仿宋" w:hAnsi="仿宋" w:cs="仿宋_GB2312"/>
          <w:bCs/>
          <w:color w:val="FF0000"/>
          <w:kern w:val="0"/>
          <w:sz w:val="24"/>
          <w:szCs w:val="21"/>
        </w:rPr>
      </w:pPr>
      <w:r w:rsidRPr="000B2294">
        <w:rPr>
          <w:rFonts w:ascii="仿宋" w:eastAsia="仿宋" w:hAnsi="仿宋" w:cs="仿宋_GB2312" w:hint="eastAsia"/>
          <w:bCs/>
          <w:color w:val="FF0000"/>
          <w:kern w:val="0"/>
          <w:sz w:val="24"/>
          <w:szCs w:val="21"/>
        </w:rPr>
        <w:t>作品提交</w:t>
      </w:r>
      <w:r w:rsidR="00E04A29" w:rsidRPr="000B2294">
        <w:rPr>
          <w:rFonts w:ascii="仿宋" w:eastAsia="仿宋" w:hAnsi="仿宋" w:cs="仿宋_GB2312" w:hint="eastAsia"/>
          <w:bCs/>
          <w:color w:val="FF0000"/>
          <w:kern w:val="0"/>
          <w:sz w:val="24"/>
          <w:szCs w:val="21"/>
        </w:rPr>
        <w:t>：</w:t>
      </w:r>
      <w:hyperlink r:id="rId7" w:history="1">
        <w:r w:rsidR="00E04A29" w:rsidRPr="000B2294">
          <w:rPr>
            <w:rStyle w:val="a3"/>
            <w:rFonts w:ascii="仿宋" w:eastAsia="仿宋" w:hAnsi="仿宋" w:cs="仿宋_GB2312" w:hint="default"/>
            <w:bCs/>
            <w:kern w:val="0"/>
            <w:sz w:val="24"/>
            <w:szCs w:val="21"/>
          </w:rPr>
          <w:t>校赛作品提交至sindy@seu.edu.cn</w:t>
        </w:r>
      </w:hyperlink>
    </w:p>
    <w:p w:rsidR="00E04A29" w:rsidRPr="000B2294" w:rsidRDefault="00E04A29" w:rsidP="00AD1B91">
      <w:pPr>
        <w:widowControl/>
        <w:spacing w:line="360" w:lineRule="exact"/>
        <w:ind w:firstLine="468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FF0000"/>
          <w:kern w:val="0"/>
          <w:sz w:val="24"/>
          <w:szCs w:val="21"/>
        </w:rPr>
        <w:t>国赛</w:t>
      </w:r>
      <w:r w:rsidRPr="000B2294">
        <w:rPr>
          <w:rFonts w:ascii="仿宋" w:eastAsia="仿宋" w:hAnsi="仿宋" w:cs="仿宋_GB2312"/>
          <w:bCs/>
          <w:color w:val="FF0000"/>
          <w:kern w:val="0"/>
          <w:sz w:val="24"/>
          <w:szCs w:val="21"/>
        </w:rPr>
        <w:t>作品</w:t>
      </w:r>
      <w:r w:rsidRPr="000B2294">
        <w:rPr>
          <w:rFonts w:ascii="仿宋" w:eastAsia="仿宋" w:hAnsi="仿宋" w:cs="仿宋_GB2312" w:hint="eastAsia"/>
          <w:bCs/>
          <w:color w:val="FF0000"/>
          <w:kern w:val="0"/>
          <w:sz w:val="24"/>
          <w:szCs w:val="21"/>
        </w:rPr>
        <w:t>按</w:t>
      </w:r>
      <w:r w:rsidRPr="000B2294">
        <w:rPr>
          <w:rFonts w:ascii="仿宋" w:eastAsia="仿宋" w:hAnsi="仿宋" w:cs="仿宋_GB2312"/>
          <w:bCs/>
          <w:color w:val="FF0000"/>
          <w:kern w:val="0"/>
          <w:sz w:val="24"/>
          <w:szCs w:val="21"/>
        </w:rPr>
        <w:t>国赛</w:t>
      </w:r>
      <w:r w:rsidRPr="000B2294">
        <w:rPr>
          <w:rFonts w:ascii="仿宋" w:eastAsia="仿宋" w:hAnsi="仿宋" w:cs="仿宋_GB2312" w:hint="eastAsia"/>
          <w:bCs/>
          <w:color w:val="FF0000"/>
          <w:kern w:val="0"/>
          <w:sz w:val="24"/>
          <w:szCs w:val="21"/>
        </w:rPr>
        <w:t>通知</w:t>
      </w:r>
      <w:r w:rsidRPr="000B2294">
        <w:rPr>
          <w:rFonts w:ascii="仿宋" w:eastAsia="仿宋" w:hAnsi="仿宋" w:cs="仿宋_GB2312"/>
          <w:bCs/>
          <w:color w:val="FF0000"/>
          <w:kern w:val="0"/>
          <w:sz w:val="24"/>
          <w:szCs w:val="21"/>
        </w:rPr>
        <w:t>要求提交作品</w:t>
      </w:r>
    </w:p>
    <w:p w:rsidR="00AD1B91" w:rsidRPr="000B2294" w:rsidRDefault="00AD1B91" w:rsidP="00AD1B91">
      <w:pPr>
        <w:widowControl/>
        <w:spacing w:line="360" w:lineRule="exact"/>
        <w:ind w:firstLineChars="200" w:firstLine="480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提交内容：设计报告、作品技术指标和功能展示视频三个文件</w:t>
      </w:r>
    </w:p>
    <w:p w:rsidR="000B2294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仿宋_GB2312"/>
          <w:b/>
          <w:bCs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七、报名方式：</w:t>
      </w:r>
    </w:p>
    <w:p w:rsidR="000B2294" w:rsidRPr="00853E07" w:rsidRDefault="00AD1B91" w:rsidP="000B2294">
      <w:pPr>
        <w:widowControl/>
        <w:spacing w:line="360" w:lineRule="exact"/>
        <w:ind w:firstLineChars="200" w:firstLine="480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53E07">
        <w:rPr>
          <w:rFonts w:ascii="仿宋" w:eastAsia="仿宋" w:hAnsi="仿宋" w:cs="仿宋_GB2312" w:hint="eastAsia"/>
          <w:bCs/>
          <w:color w:val="000000"/>
          <w:kern w:val="0"/>
          <w:sz w:val="24"/>
          <w:szCs w:val="24"/>
        </w:rPr>
        <w:t>报名地址：</w:t>
      </w:r>
      <w:r w:rsidRPr="00853E07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 教务在线—课外研学—学生学科竞赛系统</w:t>
      </w:r>
    </w:p>
    <w:p w:rsidR="00AD1B91" w:rsidRPr="00853E07" w:rsidRDefault="00695520" w:rsidP="00520BA5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95520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完成报名后可加</w:t>
      </w:r>
      <w:r w:rsidR="000B2294" w:rsidRPr="00853E07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“2017东大生医创新精神QQ群”：</w:t>
      </w:r>
      <w:r w:rsidR="000B2294" w:rsidRPr="00853E07">
        <w:rPr>
          <w:rFonts w:ascii="仿宋" w:eastAsia="仿宋" w:hAnsi="仿宋" w:cs="Arial"/>
          <w:color w:val="000000"/>
          <w:sz w:val="24"/>
          <w:szCs w:val="24"/>
          <w:shd w:val="clear" w:color="auto" w:fill="FFFFFF"/>
        </w:rPr>
        <w:t>652400064，进群密码SEUBME</w:t>
      </w:r>
    </w:p>
    <w:p w:rsidR="00AD1B91" w:rsidRPr="00853E07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53E07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4"/>
        </w:rPr>
        <w:t>八、竞赛奖励</w:t>
      </w:r>
    </w:p>
    <w:p w:rsidR="00AD1B91" w:rsidRPr="000B2294" w:rsidRDefault="00AD1B91" w:rsidP="00AD1B91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竞赛设</w:t>
      </w:r>
      <w:r w:rsidRPr="000B2294">
        <w:rPr>
          <w:rFonts w:ascii="仿宋" w:eastAsia="仿宋" w:hAnsi="仿宋" w:cs="宋体" w:hint="eastAsia"/>
          <w:bCs/>
          <w:color w:val="000000"/>
          <w:kern w:val="0"/>
          <w:sz w:val="24"/>
          <w:szCs w:val="21"/>
        </w:rPr>
        <w:t>一等奖（3％）、二等奖（6％）、三等奖（9％）、优秀奖（12％）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。获奖学生可获得教务处颁发的证书并获得相应的课外研学学分（见《东南大学本科生学生课外研学学分认定办法》）。获奖者将具备参加全国大赛的资格。</w:t>
      </w:r>
    </w:p>
    <w:p w:rsidR="00AD1B91" w:rsidRPr="000B2294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八、竞赛组织管理</w:t>
      </w:r>
    </w:p>
    <w:p w:rsidR="00AD1B91" w:rsidRPr="000B2294" w:rsidRDefault="00AD1B91" w:rsidP="00AD1B91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1"/>
        </w:rPr>
        <w:t>本竞赛主办方为东南大学教务处，由生物科学与医学工程学院承办，设立竞赛组委会。</w:t>
      </w:r>
    </w:p>
    <w:p w:rsidR="00AD1B91" w:rsidRPr="000B2294" w:rsidRDefault="00AD1B91" w:rsidP="00AD1B91">
      <w:pPr>
        <w:widowControl/>
        <w:spacing w:line="360" w:lineRule="exact"/>
        <w:jc w:val="left"/>
        <w:outlineLvl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1"/>
        </w:rPr>
        <w:t>九、竞赛组委会</w:t>
      </w:r>
    </w:p>
    <w:p w:rsidR="00AD1B91" w:rsidRPr="000B2294" w:rsidRDefault="00AD1B91" w:rsidP="00AD1B91">
      <w:pPr>
        <w:widowControl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4"/>
        </w:rPr>
        <w:t>主  任：万遂人</w:t>
      </w:r>
    </w:p>
    <w:p w:rsidR="00AD1B91" w:rsidRPr="000B2294" w:rsidRDefault="00AD1B91" w:rsidP="00AD1B91">
      <w:pPr>
        <w:widowControl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4"/>
        </w:rPr>
        <w:t>副主任：沈孝兵，</w:t>
      </w:r>
      <w:r w:rsidRPr="000B229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谢建明</w:t>
      </w:r>
    </w:p>
    <w:p w:rsidR="00AD1B91" w:rsidRPr="000B2294" w:rsidRDefault="00AD1B91" w:rsidP="00AD1B91">
      <w:pPr>
        <w:widowControl/>
        <w:spacing w:line="276" w:lineRule="auto"/>
        <w:ind w:left="480" w:right="441" w:hanging="48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4"/>
        </w:rPr>
        <w:t>成  员：</w:t>
      </w:r>
      <w:r w:rsidR="009A6578" w:rsidRPr="000B229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王立辉，</w:t>
      </w:r>
      <w:r w:rsidR="009A6578" w:rsidRPr="000B229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付德刚</w:t>
      </w:r>
      <w:r w:rsidR="009A6578" w:rsidRPr="000B229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, 李舒宏，况迎辉，周平，</w:t>
      </w:r>
      <w:r w:rsidRPr="000B229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高  山，舒华忠，</w:t>
      </w:r>
      <w:r w:rsidR="009A6578" w:rsidRPr="000B229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张在琛，殷国栋，</w:t>
      </w:r>
      <w:r w:rsidRPr="000B229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徐春宏，仲雪飞，</w:t>
      </w:r>
      <w:r w:rsidR="009A6578" w:rsidRPr="000B2294">
        <w:rPr>
          <w:rFonts w:ascii="仿宋" w:eastAsia="仿宋" w:hAnsi="仿宋" w:cs="仿宋_GB2312" w:hint="eastAsia"/>
          <w:bCs/>
          <w:color w:val="000000" w:themeColor="text1"/>
          <w:kern w:val="0"/>
          <w:sz w:val="24"/>
          <w:szCs w:val="24"/>
        </w:rPr>
        <w:t>储成林，戴玉蓉，</w:t>
      </w:r>
      <w:r w:rsidR="009A6578" w:rsidRPr="000B2294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魏海坤</w:t>
      </w:r>
    </w:p>
    <w:p w:rsidR="00AD1B91" w:rsidRPr="000B2294" w:rsidRDefault="00AD1B91" w:rsidP="00AD1B91">
      <w:pPr>
        <w:widowControl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4"/>
        </w:rPr>
        <w:t>秘  书：黄 雷  咨询电话</w:t>
      </w:r>
      <w:r w:rsid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4"/>
        </w:rPr>
        <w:t>：</w:t>
      </w:r>
      <w:r w:rsidRPr="000B2294">
        <w:rPr>
          <w:rFonts w:ascii="仿宋" w:eastAsia="仿宋" w:hAnsi="仿宋" w:cs="仿宋_GB2312" w:hint="eastAsia"/>
          <w:bCs/>
          <w:color w:val="000000"/>
          <w:kern w:val="0"/>
          <w:sz w:val="24"/>
          <w:szCs w:val="24"/>
        </w:rPr>
        <w:t xml:space="preserve">83272339 </w:t>
      </w:r>
      <w:r w:rsidR="000B2294">
        <w:rPr>
          <w:rFonts w:ascii="仿宋" w:eastAsia="仿宋" w:hAnsi="仿宋" w:cs="仿宋_GB2312"/>
          <w:bCs/>
          <w:color w:val="000000"/>
          <w:kern w:val="0"/>
          <w:sz w:val="24"/>
          <w:szCs w:val="24"/>
        </w:rPr>
        <w:t>,83793925</w:t>
      </w:r>
    </w:p>
    <w:p w:rsidR="00AD1B91" w:rsidRPr="000B2294" w:rsidRDefault="00364BEA" w:rsidP="00AD1B91">
      <w:pPr>
        <w:widowControl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Calibri" w:eastAsia="仿宋" w:hAnsi="Calibri" w:cs="Calibri" w:hint="eastAsia"/>
          <w:bCs/>
          <w:color w:val="000000"/>
          <w:kern w:val="0"/>
          <w:sz w:val="24"/>
          <w:szCs w:val="21"/>
        </w:rPr>
        <w:t xml:space="preserve"> </w:t>
      </w:r>
    </w:p>
    <w:p w:rsidR="00DC324D" w:rsidRPr="000B2294" w:rsidRDefault="00AD1B91" w:rsidP="00520BA5">
      <w:pPr>
        <w:jc w:val="right"/>
        <w:rPr>
          <w:rFonts w:ascii="仿宋" w:eastAsia="仿宋" w:hAnsi="仿宋" w:cs="仿宋_GB2312"/>
          <w:b/>
          <w:color w:val="000000"/>
          <w:kern w:val="0"/>
          <w:sz w:val="24"/>
          <w:szCs w:val="21"/>
        </w:rPr>
      </w:pPr>
      <w:r w:rsidRPr="000B2294">
        <w:rPr>
          <w:rFonts w:ascii="仿宋" w:eastAsia="仿宋" w:hAnsi="仿宋" w:cs="仿宋_GB2312" w:hint="eastAsia"/>
          <w:b/>
          <w:color w:val="000000"/>
          <w:kern w:val="0"/>
          <w:sz w:val="24"/>
          <w:szCs w:val="21"/>
        </w:rPr>
        <w:t>东南大学生物医学工程创新设计竞赛组委会</w:t>
      </w:r>
    </w:p>
    <w:p w:rsidR="00520BA5" w:rsidRPr="000B2294" w:rsidRDefault="00520BA5" w:rsidP="00520BA5">
      <w:pPr>
        <w:jc w:val="right"/>
        <w:rPr>
          <w:rFonts w:ascii="仿宋" w:eastAsia="仿宋" w:hAnsi="仿宋"/>
        </w:rPr>
      </w:pPr>
      <w:r w:rsidRPr="000B2294">
        <w:rPr>
          <w:rFonts w:ascii="仿宋" w:eastAsia="仿宋" w:hAnsi="仿宋" w:cs="仿宋_GB2312"/>
          <w:b/>
          <w:color w:val="000000"/>
          <w:kern w:val="0"/>
          <w:sz w:val="24"/>
          <w:szCs w:val="21"/>
        </w:rPr>
        <w:t>2017年7月</w:t>
      </w:r>
      <w:r w:rsidR="002C1DD0">
        <w:rPr>
          <w:rFonts w:ascii="仿宋" w:eastAsia="仿宋" w:hAnsi="仿宋" w:cs="仿宋_GB2312" w:hint="eastAsia"/>
          <w:b/>
          <w:color w:val="000000"/>
          <w:kern w:val="0"/>
          <w:sz w:val="24"/>
          <w:szCs w:val="21"/>
        </w:rPr>
        <w:t>4</w:t>
      </w:r>
      <w:r w:rsidRPr="000B2294">
        <w:rPr>
          <w:rFonts w:ascii="仿宋" w:eastAsia="仿宋" w:hAnsi="仿宋" w:cs="仿宋_GB2312"/>
          <w:b/>
          <w:color w:val="000000"/>
          <w:kern w:val="0"/>
          <w:sz w:val="24"/>
          <w:szCs w:val="21"/>
        </w:rPr>
        <w:t>日</w:t>
      </w:r>
    </w:p>
    <w:sectPr w:rsidR="00520BA5" w:rsidRPr="000B2294" w:rsidSect="00324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40" w:rsidRDefault="00012040" w:rsidP="007531DE">
      <w:r>
        <w:separator/>
      </w:r>
    </w:p>
  </w:endnote>
  <w:endnote w:type="continuationSeparator" w:id="1">
    <w:p w:rsidR="00012040" w:rsidRDefault="00012040" w:rsidP="0075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40" w:rsidRDefault="00012040" w:rsidP="007531DE">
      <w:r>
        <w:separator/>
      </w:r>
    </w:p>
  </w:footnote>
  <w:footnote w:type="continuationSeparator" w:id="1">
    <w:p w:rsidR="00012040" w:rsidRDefault="00012040" w:rsidP="0075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32B2"/>
    <w:multiLevelType w:val="multilevel"/>
    <w:tmpl w:val="0694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B91"/>
    <w:rsid w:val="00012040"/>
    <w:rsid w:val="000B2294"/>
    <w:rsid w:val="002A43E6"/>
    <w:rsid w:val="002C1DD0"/>
    <w:rsid w:val="003119F0"/>
    <w:rsid w:val="00324AF3"/>
    <w:rsid w:val="00364BEA"/>
    <w:rsid w:val="004210B9"/>
    <w:rsid w:val="00520BA5"/>
    <w:rsid w:val="00695520"/>
    <w:rsid w:val="007531DE"/>
    <w:rsid w:val="00853E07"/>
    <w:rsid w:val="009A6578"/>
    <w:rsid w:val="00A348F8"/>
    <w:rsid w:val="00A75007"/>
    <w:rsid w:val="00AD1B91"/>
    <w:rsid w:val="00DC324D"/>
    <w:rsid w:val="00E0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B91"/>
    <w:rPr>
      <w:rFonts w:ascii="宋体" w:eastAsia="宋体" w:hAnsi="宋体" w:hint="eastAsia"/>
      <w:strike w:val="0"/>
      <w:dstrike w:val="0"/>
      <w:color w:val="464646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53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1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657;&#36187;&#20316;&#21697;&#25552;&#20132;&#33267;sindy@se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</dc:creator>
  <cp:keywords/>
  <dc:description/>
  <cp:lastModifiedBy>Dell</cp:lastModifiedBy>
  <cp:revision>3</cp:revision>
  <dcterms:created xsi:type="dcterms:W3CDTF">2017-08-25T07:07:00Z</dcterms:created>
  <dcterms:modified xsi:type="dcterms:W3CDTF">2017-08-28T05:39:00Z</dcterms:modified>
</cp:coreProperties>
</file>